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ECB" w:rsidRDefault="00723ECB" w:rsidP="00723ECB">
      <w:pPr>
        <w:autoSpaceDE w:val="0"/>
        <w:autoSpaceDN w:val="0"/>
        <w:snapToGrid w:val="0"/>
        <w:spacing w:afterLines="50"/>
        <w:jc w:val="center"/>
        <w:rPr>
          <w:rFonts w:eastAsia="標楷體" w:hAnsi="標楷體" w:hint="eastAsia"/>
          <w:snapToGrid w:val="0"/>
          <w:kern w:val="0"/>
          <w:sz w:val="36"/>
        </w:rPr>
      </w:pPr>
      <w:r>
        <w:rPr>
          <w:rFonts w:eastAsia="標楷體" w:hAnsi="標楷體"/>
          <w:snapToGrid w:val="0"/>
          <w:kern w:val="0"/>
          <w:sz w:val="36"/>
        </w:rPr>
        <w:t>台灣中油股份有限公司煉製事業部高雄煉油廠</w:t>
      </w:r>
      <w:r>
        <w:rPr>
          <w:rFonts w:eastAsia="標楷體" w:hint="eastAsia"/>
          <w:snapToGrid w:val="0"/>
          <w:kern w:val="0"/>
          <w:sz w:val="36"/>
        </w:rPr>
        <w:br/>
      </w:r>
      <w:r>
        <w:rPr>
          <w:rFonts w:eastAsia="標楷體" w:hAnsi="標楷體"/>
          <w:snapToGrid w:val="0"/>
          <w:kern w:val="0"/>
          <w:sz w:val="36"/>
        </w:rPr>
        <w:t>溪州資源回收廠</w:t>
      </w:r>
    </w:p>
    <w:p w:rsidR="009D6619" w:rsidRDefault="009D6619" w:rsidP="009D6619">
      <w:pPr>
        <w:pStyle w:val="a4"/>
        <w:spacing w:afterLines="50"/>
        <w:jc w:val="both"/>
        <w:rPr>
          <w:rFonts w:eastAsia="標楷體"/>
          <w:snapToGrid w:val="0"/>
          <w:kern w:val="0"/>
          <w:sz w:val="28"/>
          <w:u w:val="single"/>
        </w:rPr>
      </w:pPr>
      <w:r>
        <w:rPr>
          <w:rFonts w:eastAsia="標楷體" w:hAnsi="標楷體" w:hint="eastAsia"/>
          <w:snapToGrid w:val="0"/>
          <w:kern w:val="0"/>
          <w:sz w:val="28"/>
          <w:u w:val="single"/>
        </w:rPr>
        <w:t>廢</w:t>
      </w:r>
      <w:r>
        <w:rPr>
          <w:rFonts w:eastAsia="標楷體" w:hAnsi="標楷體"/>
          <w:snapToGrid w:val="0"/>
          <w:kern w:val="0"/>
          <w:sz w:val="28"/>
          <w:u w:val="single"/>
        </w:rPr>
        <w:t>棄物進、出廠處理管理要點</w:t>
      </w:r>
      <w:r w:rsidR="00C41083">
        <w:rPr>
          <w:rFonts w:eastAsia="標楷體" w:hAnsi="標楷體" w:hint="eastAsia"/>
          <w:snapToGrid w:val="0"/>
          <w:kern w:val="0"/>
          <w:sz w:val="28"/>
          <w:u w:val="single"/>
        </w:rPr>
        <w:t>~</w:t>
      </w:r>
      <w:r w:rsidR="00C41083">
        <w:rPr>
          <w:rFonts w:eastAsia="標楷體" w:hAnsi="標楷體" w:hint="eastAsia"/>
          <w:snapToGrid w:val="0"/>
          <w:kern w:val="0"/>
          <w:sz w:val="28"/>
          <w:u w:val="single"/>
        </w:rPr>
        <w:t>摘要</w:t>
      </w:r>
    </w:p>
    <w:p w:rsidR="002B5CAF" w:rsidRPr="00C41083" w:rsidRDefault="00C41083" w:rsidP="00C41083">
      <w:pPr>
        <w:pStyle w:val="-2"/>
        <w:ind w:left="0" w:firstLine="0"/>
      </w:pPr>
      <w:r>
        <w:rPr>
          <w:rFonts w:hint="eastAsia"/>
        </w:rPr>
        <w:t xml:space="preserve">    </w:t>
      </w:r>
      <w:r w:rsidR="009D6619" w:rsidRPr="00C41083">
        <w:rPr>
          <w:rFonts w:hint="eastAsia"/>
        </w:rPr>
        <w:t>一、</w:t>
      </w:r>
      <w:r w:rsidR="009D6619" w:rsidRPr="00C41083">
        <w:t>應留置處理之條件及處理方式。</w:t>
      </w:r>
      <w:r w:rsidR="002B5CAF" w:rsidRPr="00C41083">
        <w:t>.</w:t>
      </w:r>
      <w:r w:rsidR="009D6619" w:rsidRPr="00C41083">
        <w:t xml:space="preserve"> </w:t>
      </w:r>
    </w:p>
    <w:p w:rsidR="002B5CAF" w:rsidRDefault="002B5CAF" w:rsidP="00C41083">
      <w:pPr>
        <w:pStyle w:val="-2"/>
      </w:pPr>
      <w:r>
        <w:rPr>
          <w:rFonts w:hint="eastAsia"/>
        </w:rPr>
        <w:t>1</w:t>
      </w:r>
      <w:r>
        <w:t>).清運進廠車輛夾雜有害事業廢棄物及感染性醫療廢棄物者，應留置該清運車輛及載送物後，迅速通報彰化縣環境保護局派員</w:t>
      </w:r>
      <w:r w:rsidRPr="009D6619">
        <w:rPr>
          <w:b/>
          <w:color w:val="FF0000"/>
        </w:rPr>
        <w:t>依法告</w:t>
      </w:r>
      <w:r w:rsidR="00C41083">
        <w:rPr>
          <w:rFonts w:hint="eastAsia"/>
          <w:b/>
          <w:color w:val="FF0000"/>
        </w:rPr>
        <w:t>發</w:t>
      </w:r>
      <w:r>
        <w:t>。</w:t>
      </w:r>
    </w:p>
    <w:p w:rsidR="002B5CAF" w:rsidRDefault="002B5CAF" w:rsidP="00C41083">
      <w:pPr>
        <w:pStyle w:val="-2"/>
      </w:pPr>
      <w:r>
        <w:rPr>
          <w:rFonts w:hint="eastAsia"/>
        </w:rPr>
        <w:t>2</w:t>
      </w:r>
      <w:r>
        <w:t>).有害事業廢棄物之認定，依據環境保護署訂定之「有害事業廢棄物認定標準」規定辦理。</w:t>
      </w:r>
    </w:p>
    <w:p w:rsidR="002B5CAF" w:rsidRPr="009D6619" w:rsidRDefault="009D6619" w:rsidP="002B5CAF">
      <w:pPr>
        <w:pStyle w:val="32"/>
        <w:rPr>
          <w:rFonts w:ascii="Times New Roman" w:hAnsi="Times New Roman"/>
          <w:snapToGrid w:val="0"/>
          <w:spacing w:val="0"/>
          <w:kern w:val="0"/>
          <w:sz w:val="32"/>
          <w:szCs w:val="32"/>
        </w:rPr>
      </w:pPr>
      <w:bookmarkStart w:id="0" w:name="_Toc214938948"/>
      <w:r>
        <w:rPr>
          <w:rFonts w:ascii="Times New Roman" w:hAnsi="Times New Roman" w:hint="eastAsia"/>
          <w:snapToGrid w:val="0"/>
          <w:spacing w:val="0"/>
          <w:kern w:val="0"/>
        </w:rPr>
        <w:t>二、</w:t>
      </w:r>
      <w:r w:rsidR="002B5CAF">
        <w:rPr>
          <w:rFonts w:ascii="Times New Roman" w:hAnsi="Times New Roman"/>
          <w:snapToGrid w:val="0"/>
          <w:spacing w:val="0"/>
          <w:kern w:val="0"/>
        </w:rPr>
        <w:t>.</w:t>
      </w:r>
      <w:r w:rsidR="002B5CAF" w:rsidRPr="009D6619">
        <w:rPr>
          <w:rFonts w:ascii="Times New Roman"/>
          <w:snapToGrid w:val="0"/>
          <w:color w:val="FF0000"/>
          <w:spacing w:val="0"/>
          <w:kern w:val="0"/>
          <w:sz w:val="32"/>
          <w:szCs w:val="32"/>
        </w:rPr>
        <w:t>應拒絕進廠之條件及處理方式。</w:t>
      </w:r>
      <w:bookmarkEnd w:id="0"/>
    </w:p>
    <w:p w:rsidR="002B5CAF" w:rsidRDefault="002B5CAF" w:rsidP="00C41083">
      <w:pPr>
        <w:pStyle w:val="-2"/>
        <w:rPr>
          <w:rFonts w:hint="eastAsia"/>
        </w:rPr>
      </w:pPr>
      <w:r>
        <w:t>1).有下列所述狀況之</w:t>
      </w:r>
      <w:proofErr w:type="gramStart"/>
      <w:r>
        <w:t>一</w:t>
      </w:r>
      <w:proofErr w:type="gramEnd"/>
      <w:r>
        <w:t>者，應拒絕進廠(除</w:t>
      </w:r>
      <w:r w:rsidRPr="009D6619">
        <w:rPr>
          <w:color w:val="FF0000"/>
        </w:rPr>
        <w:t>少量可檢拾分離載回外</w:t>
      </w:r>
      <w:r>
        <w:t>)，</w:t>
      </w:r>
      <w:proofErr w:type="gramStart"/>
      <w:r w:rsidRPr="009D6619">
        <w:rPr>
          <w:b/>
          <w:color w:val="FF0000"/>
          <w:u w:val="single"/>
        </w:rPr>
        <w:t>並原車</w:t>
      </w:r>
      <w:proofErr w:type="gramEnd"/>
      <w:r w:rsidRPr="009D6619">
        <w:rPr>
          <w:b/>
          <w:color w:val="FF0000"/>
          <w:u w:val="single"/>
        </w:rPr>
        <w:t>載回</w:t>
      </w:r>
      <w:r>
        <w:t>：</w:t>
      </w:r>
    </w:p>
    <w:p w:rsidR="002B5CAF" w:rsidRDefault="00C41083" w:rsidP="00C41083">
      <w:pPr>
        <w:pStyle w:val="-2"/>
        <w:rPr>
          <w:rFonts w:hint="eastAsia"/>
        </w:rPr>
      </w:pPr>
      <w:r>
        <w:rPr>
          <w:rFonts w:hint="eastAsia"/>
        </w:rPr>
        <w:t xml:space="preserve">   </w:t>
      </w:r>
      <w:r w:rsidR="002B5CAF">
        <w:t>應以網路方式申報之一般事業廢棄物，但未申報者。</w:t>
      </w:r>
    </w:p>
    <w:p w:rsidR="002B5CAF" w:rsidRDefault="002B5CAF" w:rsidP="00C41083">
      <w:pPr>
        <w:pStyle w:val="-2"/>
        <w:rPr>
          <w:rFonts w:hint="eastAsia"/>
        </w:rPr>
      </w:pPr>
      <w:r>
        <w:t>2).足以辨認為經環境保護署公告，</w:t>
      </w:r>
      <w:r w:rsidRPr="00AB7629">
        <w:t>應以回收或再利用方式處理之事業</w:t>
      </w:r>
      <w:r w:rsidR="00C41083">
        <w:rPr>
          <w:rFonts w:hint="eastAsia"/>
        </w:rPr>
        <w:t xml:space="preserve">       </w:t>
      </w:r>
      <w:r w:rsidRPr="00AB7629">
        <w:t>廢棄物，夾雜於一般廢棄物中進廠者</w:t>
      </w:r>
      <w:r>
        <w:t>，尤需注意下列數種：</w:t>
      </w:r>
    </w:p>
    <w:p w:rsidR="002B5CAF" w:rsidRPr="009D6619" w:rsidRDefault="00C41083" w:rsidP="00C41083">
      <w:pPr>
        <w:pStyle w:val="-2"/>
        <w:rPr>
          <w:rFonts w:hint="eastAsia"/>
        </w:rPr>
      </w:pPr>
      <w:r>
        <w:rPr>
          <w:rFonts w:hint="eastAsia"/>
          <w:u w:val="single"/>
        </w:rPr>
        <w:t xml:space="preserve">  </w:t>
      </w:r>
      <w:r w:rsidR="002B5CAF" w:rsidRPr="009D6619">
        <w:rPr>
          <w:u w:val="single"/>
        </w:rPr>
        <w:t>保麗龍餐具</w:t>
      </w:r>
      <w:r w:rsidR="002B5CAF" w:rsidRPr="009D6619">
        <w:t>或其他成品、半成品容器或材料等。</w:t>
      </w:r>
    </w:p>
    <w:p w:rsidR="002B5CAF" w:rsidRPr="009D6619" w:rsidRDefault="00C41083" w:rsidP="00C41083">
      <w:pPr>
        <w:pStyle w:val="-2"/>
      </w:pPr>
      <w:r>
        <w:rPr>
          <w:rFonts w:hint="eastAsia"/>
        </w:rPr>
        <w:t xml:space="preserve">  </w:t>
      </w:r>
      <w:r w:rsidR="002B5CAF">
        <w:t>屬事業機構產製之</w:t>
      </w:r>
      <w:r w:rsidR="002B5CAF" w:rsidRPr="009D6619">
        <w:t>塑膠、橡膠、皮革類廢棄物。</w:t>
      </w:r>
    </w:p>
    <w:p w:rsidR="009D6619" w:rsidRPr="009D6619" w:rsidRDefault="009D6619" w:rsidP="00C41083">
      <w:pPr>
        <w:pStyle w:val="-2"/>
        <w:rPr>
          <w:rFonts w:hint="eastAsia"/>
        </w:rPr>
      </w:pPr>
    </w:p>
    <w:p w:rsidR="002B5CAF" w:rsidRDefault="002B5CAF" w:rsidP="00C41083">
      <w:pPr>
        <w:pStyle w:val="-2"/>
      </w:pPr>
      <w:r>
        <w:t>3).下列不適於本廠焚化處理之廢棄物，</w:t>
      </w:r>
      <w:r w:rsidRPr="009D6619">
        <w:rPr>
          <w:b/>
          <w:color w:val="FF0000"/>
          <w:u w:val="single"/>
        </w:rPr>
        <w:t>應拒絕進廠：</w:t>
      </w:r>
    </w:p>
    <w:p w:rsidR="002B5CAF" w:rsidRDefault="00C41083" w:rsidP="00C41083">
      <w:pPr>
        <w:pStyle w:val="-2"/>
        <w:rPr>
          <w:rFonts w:hint="eastAsia"/>
        </w:rPr>
      </w:pPr>
      <w:r>
        <w:rPr>
          <w:rFonts w:hint="eastAsia"/>
          <w:b/>
          <w:color w:val="0070C0"/>
        </w:rPr>
        <w:t xml:space="preserve">  </w:t>
      </w:r>
      <w:r w:rsidR="002B5CAF" w:rsidRPr="009D6619">
        <w:rPr>
          <w:b/>
          <w:color w:val="0070C0"/>
        </w:rPr>
        <w:t>動植物性殘渣混合物</w:t>
      </w:r>
      <w:r w:rsidR="002B5CAF">
        <w:t>，每一進廠車次裝載廢棄物總量中，其動物性殘渣所</w:t>
      </w:r>
      <w:proofErr w:type="gramStart"/>
      <w:r w:rsidR="002B5CAF">
        <w:t>佔</w:t>
      </w:r>
      <w:proofErr w:type="gramEnd"/>
      <w:r w:rsidR="002B5CAF">
        <w:t>比例以10%為限。</w:t>
      </w:r>
    </w:p>
    <w:p w:rsidR="00723ECB" w:rsidRPr="0024754B" w:rsidRDefault="00C41083" w:rsidP="0024754B">
      <w:pPr>
        <w:pStyle w:val="-2"/>
      </w:pPr>
      <w:r>
        <w:rPr>
          <w:rFonts w:hint="eastAsia"/>
          <w:b/>
          <w:color w:val="0070C0"/>
        </w:rPr>
        <w:t xml:space="preserve">  </w:t>
      </w:r>
      <w:r w:rsidR="002B5CAF" w:rsidRPr="00AB7629">
        <w:rPr>
          <w:b/>
          <w:color w:val="0070C0"/>
        </w:rPr>
        <w:t>廢塑膠混合物及廢橡膠混合物</w:t>
      </w:r>
      <w:r w:rsidR="002B5CAF">
        <w:t>，其廢塑膠</w:t>
      </w:r>
      <w:r w:rsidR="0024754B">
        <w:rPr>
          <w:rFonts w:hint="eastAsia"/>
        </w:rPr>
        <w:t>袋</w:t>
      </w:r>
      <w:r w:rsidR="002B5CAF">
        <w:t>或廢橡膠所</w:t>
      </w:r>
      <w:proofErr w:type="gramStart"/>
      <w:r w:rsidR="002B5CAF">
        <w:t>佔</w:t>
      </w:r>
      <w:proofErr w:type="gramEnd"/>
      <w:r w:rsidR="002B5CAF">
        <w:t>比例以</w:t>
      </w:r>
      <w:proofErr w:type="gramStart"/>
      <w:r w:rsidR="002B5CAF">
        <w:t>以</w:t>
      </w:r>
      <w:proofErr w:type="gramEnd"/>
      <w:r w:rsidR="002B5CAF">
        <w:t>50%為限。</w:t>
      </w:r>
    </w:p>
    <w:p w:rsidR="00723ECB" w:rsidRDefault="00723ECB" w:rsidP="00C41083">
      <w:pPr>
        <w:pStyle w:val="-2"/>
      </w:pPr>
      <w:r>
        <w:t>超過下列規定尺寸範圍之廢棄物，</w:t>
      </w:r>
      <w:proofErr w:type="gramStart"/>
      <w:r>
        <w:t>需經預處理</w:t>
      </w:r>
      <w:proofErr w:type="gramEnd"/>
      <w:r>
        <w:t>至符合規定後，始得進</w:t>
      </w:r>
      <w:proofErr w:type="gramStart"/>
      <w:r>
        <w:t>廠傾卸</w:t>
      </w:r>
      <w:proofErr w:type="gramEnd"/>
      <w:r>
        <w:t>：</w:t>
      </w:r>
    </w:p>
    <w:p w:rsidR="00723ECB" w:rsidRDefault="00723ECB" w:rsidP="00723ECB">
      <w:pPr>
        <w:pStyle w:val="41"/>
        <w:ind w:leftChars="675" w:left="2825" w:hanging="1205"/>
        <w:rPr>
          <w:rFonts w:ascii="Times New Roman" w:hAnsi="Times New Roman"/>
          <w:snapToGrid w:val="0"/>
          <w:spacing w:val="0"/>
          <w:kern w:val="0"/>
        </w:rPr>
      </w:pPr>
      <w:r>
        <w:rPr>
          <w:rFonts w:ascii="Times New Roman" w:hAnsi="Times New Roman"/>
          <w:snapToGrid w:val="0"/>
          <w:spacing w:val="0"/>
          <w:kern w:val="0"/>
        </w:rPr>
        <w:t>a.</w:t>
      </w:r>
      <w:r>
        <w:rPr>
          <w:rFonts w:ascii="Times New Roman"/>
          <w:snapToGrid w:val="0"/>
          <w:spacing w:val="0"/>
          <w:kern w:val="0"/>
        </w:rPr>
        <w:t>廢木材</w:t>
      </w:r>
      <w:proofErr w:type="gramStart"/>
      <w:r>
        <w:rPr>
          <w:rFonts w:ascii="Times New Roman"/>
          <w:snapToGrid w:val="0"/>
          <w:spacing w:val="0"/>
          <w:kern w:val="0"/>
        </w:rPr>
        <w:t>棧</w:t>
      </w:r>
      <w:proofErr w:type="gramEnd"/>
      <w:r>
        <w:rPr>
          <w:rFonts w:ascii="Times New Roman"/>
          <w:snapToGrid w:val="0"/>
          <w:spacing w:val="0"/>
          <w:kern w:val="0"/>
        </w:rPr>
        <w:t>板及廢木材混合物：長、寬</w:t>
      </w:r>
      <w:r>
        <w:rPr>
          <w:rFonts w:ascii="Times New Roman" w:hAnsi="Times New Roman"/>
          <w:snapToGrid w:val="0"/>
          <w:spacing w:val="0"/>
          <w:kern w:val="0"/>
        </w:rPr>
        <w:t>1.0</w:t>
      </w:r>
      <w:r>
        <w:rPr>
          <w:rFonts w:ascii="Times New Roman"/>
          <w:snapToGrid w:val="0"/>
          <w:spacing w:val="0"/>
          <w:kern w:val="0"/>
        </w:rPr>
        <w:t>公尺，厚度或直徑</w:t>
      </w:r>
      <w:r>
        <w:rPr>
          <w:rFonts w:ascii="Times New Roman" w:hAnsi="Times New Roman"/>
          <w:snapToGrid w:val="0"/>
          <w:spacing w:val="0"/>
          <w:kern w:val="0"/>
        </w:rPr>
        <w:t>5</w:t>
      </w:r>
      <w:r>
        <w:rPr>
          <w:rFonts w:ascii="Times New Roman"/>
          <w:snapToGrid w:val="0"/>
          <w:spacing w:val="0"/>
          <w:kern w:val="0"/>
        </w:rPr>
        <w:t>公分。</w:t>
      </w:r>
    </w:p>
    <w:p w:rsidR="00723ECB" w:rsidRDefault="00723ECB" w:rsidP="00723ECB">
      <w:pPr>
        <w:pStyle w:val="41"/>
        <w:ind w:leftChars="675" w:left="2825" w:hanging="1205"/>
        <w:rPr>
          <w:rFonts w:ascii="Times New Roman" w:hAnsi="Times New Roman"/>
          <w:snapToGrid w:val="0"/>
          <w:spacing w:val="0"/>
          <w:kern w:val="0"/>
        </w:rPr>
      </w:pPr>
      <w:r>
        <w:rPr>
          <w:rFonts w:ascii="Times New Roman" w:hAnsi="Times New Roman"/>
          <w:snapToGrid w:val="0"/>
          <w:spacing w:val="0"/>
          <w:kern w:val="0"/>
        </w:rPr>
        <w:t>b.</w:t>
      </w:r>
      <w:r>
        <w:rPr>
          <w:rFonts w:ascii="Times New Roman"/>
          <w:snapToGrid w:val="0"/>
          <w:spacing w:val="0"/>
          <w:kern w:val="0"/>
        </w:rPr>
        <w:t>成捲筒狀或塊狀之塑膠及橡膠廢棄物，厚度</w:t>
      </w:r>
      <w:r>
        <w:rPr>
          <w:rFonts w:ascii="Times New Roman" w:hAnsi="Times New Roman"/>
          <w:snapToGrid w:val="0"/>
          <w:spacing w:val="0"/>
          <w:kern w:val="0"/>
        </w:rPr>
        <w:t>5</w:t>
      </w:r>
      <w:r>
        <w:rPr>
          <w:rFonts w:ascii="Times New Roman"/>
          <w:snapToGrid w:val="0"/>
          <w:spacing w:val="0"/>
          <w:kern w:val="0"/>
        </w:rPr>
        <w:t>公分、長、寬</w:t>
      </w:r>
      <w:r>
        <w:rPr>
          <w:rFonts w:ascii="Times New Roman" w:hAnsi="Times New Roman"/>
          <w:snapToGrid w:val="0"/>
          <w:spacing w:val="0"/>
          <w:kern w:val="0"/>
        </w:rPr>
        <w:t>45</w:t>
      </w:r>
      <w:r>
        <w:rPr>
          <w:rFonts w:ascii="Times New Roman"/>
          <w:snapToGrid w:val="0"/>
          <w:spacing w:val="0"/>
          <w:kern w:val="0"/>
        </w:rPr>
        <w:t>公分。</w:t>
      </w:r>
    </w:p>
    <w:p w:rsidR="00723ECB" w:rsidRDefault="00723ECB" w:rsidP="00723ECB">
      <w:pPr>
        <w:pStyle w:val="41"/>
        <w:ind w:leftChars="675" w:left="2825" w:hanging="1205"/>
        <w:rPr>
          <w:rFonts w:ascii="Times New Roman" w:hAnsi="Times New Roman"/>
          <w:snapToGrid w:val="0"/>
          <w:spacing w:val="0"/>
          <w:kern w:val="0"/>
        </w:rPr>
      </w:pPr>
      <w:r>
        <w:rPr>
          <w:rFonts w:ascii="Times New Roman" w:hAnsi="Times New Roman"/>
          <w:snapToGrid w:val="0"/>
          <w:spacing w:val="0"/>
          <w:kern w:val="0"/>
        </w:rPr>
        <w:t>c.</w:t>
      </w:r>
      <w:r>
        <w:rPr>
          <w:rFonts w:ascii="Times New Roman"/>
          <w:snapToGrid w:val="0"/>
          <w:spacing w:val="0"/>
          <w:kern w:val="0"/>
        </w:rPr>
        <w:t>捲筒狀或長度、寬度超過</w:t>
      </w:r>
      <w:r>
        <w:rPr>
          <w:rFonts w:ascii="Times New Roman" w:hAnsi="Times New Roman"/>
          <w:snapToGrid w:val="0"/>
          <w:spacing w:val="0"/>
          <w:kern w:val="0"/>
        </w:rPr>
        <w:t>100</w:t>
      </w:r>
      <w:r>
        <w:rPr>
          <w:rFonts w:ascii="Times New Roman"/>
          <w:snapToGrid w:val="0"/>
          <w:spacing w:val="0"/>
          <w:kern w:val="0"/>
        </w:rPr>
        <w:t>公分之地毯類廢棄物。</w:t>
      </w:r>
    </w:p>
    <w:p w:rsidR="00723ECB" w:rsidRDefault="00723ECB" w:rsidP="00723ECB">
      <w:pPr>
        <w:pStyle w:val="41"/>
        <w:ind w:leftChars="675" w:left="2825" w:hanging="1205"/>
        <w:rPr>
          <w:rFonts w:ascii="Times New Roman" w:hAnsi="Times New Roman"/>
          <w:snapToGrid w:val="0"/>
          <w:spacing w:val="0"/>
          <w:kern w:val="0"/>
        </w:rPr>
      </w:pPr>
      <w:r>
        <w:rPr>
          <w:rFonts w:ascii="Times New Roman" w:hAnsi="Times New Roman"/>
          <w:snapToGrid w:val="0"/>
          <w:spacing w:val="0"/>
          <w:kern w:val="0"/>
        </w:rPr>
        <w:t xml:space="preserve">d. </w:t>
      </w:r>
      <w:r>
        <w:rPr>
          <w:rFonts w:ascii="Times New Roman"/>
          <w:snapToGrid w:val="0"/>
          <w:spacing w:val="0"/>
          <w:kern w:val="0"/>
        </w:rPr>
        <w:t>長條狀廢纖維、廢棉、布等，長度超過</w:t>
      </w:r>
      <w:r>
        <w:rPr>
          <w:rFonts w:ascii="Times New Roman" w:hAnsi="Times New Roman"/>
          <w:snapToGrid w:val="0"/>
          <w:spacing w:val="0"/>
          <w:kern w:val="0"/>
        </w:rPr>
        <w:t>5</w:t>
      </w:r>
      <w:r>
        <w:rPr>
          <w:rFonts w:ascii="Times New Roman"/>
          <w:snapToGrid w:val="0"/>
          <w:spacing w:val="0"/>
          <w:kern w:val="0"/>
        </w:rPr>
        <w:t>公尺以上者。</w:t>
      </w:r>
    </w:p>
    <w:p w:rsidR="00723ECB" w:rsidRDefault="00723ECB" w:rsidP="00C41083">
      <w:pPr>
        <w:pStyle w:val="-2"/>
        <w:rPr>
          <w:rFonts w:hint="eastAsia"/>
        </w:rPr>
      </w:pPr>
      <w:r>
        <w:rPr>
          <w:rFonts w:hint="eastAsia"/>
        </w:rPr>
        <w:t>4).</w:t>
      </w:r>
      <w:r>
        <w:t>一般垃圾中混雜</w:t>
      </w:r>
      <w:r w:rsidRPr="00AB7629">
        <w:rPr>
          <w:color w:val="0070C0"/>
        </w:rPr>
        <w:t>巨大垃圾(傢俱、木塊)者</w:t>
      </w:r>
      <w:r>
        <w:t>。</w:t>
      </w:r>
    </w:p>
    <w:p w:rsidR="00723ECB" w:rsidRDefault="00723ECB" w:rsidP="00C41083">
      <w:pPr>
        <w:pStyle w:val="-2"/>
        <w:rPr>
          <w:rFonts w:hint="eastAsia"/>
        </w:rPr>
      </w:pPr>
      <w:r>
        <w:rPr>
          <w:rFonts w:hint="eastAsia"/>
        </w:rPr>
        <w:t>5).</w:t>
      </w:r>
      <w:r>
        <w:t>掩埋場已經覆土掩埋處理過之廢棄物，但為因應本廠停爐</w:t>
      </w:r>
      <w:proofErr w:type="gramStart"/>
      <w:r>
        <w:t>期間，</w:t>
      </w:r>
      <w:proofErr w:type="gramEnd"/>
      <w:r>
        <w:t>調</w:t>
      </w:r>
      <w:r w:rsidR="0024754B">
        <w:rPr>
          <w:rFonts w:hint="eastAsia"/>
        </w:rPr>
        <w:t xml:space="preserve">      </w:t>
      </w:r>
      <w:r>
        <w:t>節性先行掩埋之廢棄物，且未經覆土處理者除外。</w:t>
      </w:r>
    </w:p>
    <w:p w:rsidR="00723ECB" w:rsidRDefault="00723ECB" w:rsidP="00C41083">
      <w:pPr>
        <w:pStyle w:val="-2"/>
        <w:rPr>
          <w:rFonts w:hint="eastAsia"/>
        </w:rPr>
      </w:pPr>
      <w:r>
        <w:rPr>
          <w:rFonts w:hint="eastAsia"/>
        </w:rPr>
        <w:t>6).</w:t>
      </w:r>
      <w:r>
        <w:t>許可進廠廢棄物種類如因</w:t>
      </w:r>
      <w:r w:rsidRPr="00AB7629">
        <w:t>行政院環境保護署公告不得</w:t>
      </w:r>
      <w:proofErr w:type="gramStart"/>
      <w:r w:rsidRPr="00AB7629">
        <w:t>採</w:t>
      </w:r>
      <w:proofErr w:type="gramEnd"/>
      <w:r w:rsidRPr="00AB7629">
        <w:t>焚化處理</w:t>
      </w:r>
      <w:r w:rsidR="0024754B">
        <w:rPr>
          <w:rFonts w:hint="eastAsia"/>
        </w:rPr>
        <w:t xml:space="preserve">  </w:t>
      </w:r>
      <w:r w:rsidRPr="00AB7629">
        <w:t>者</w:t>
      </w:r>
      <w:r>
        <w:t>。</w:t>
      </w:r>
    </w:p>
    <w:p w:rsidR="00723ECB" w:rsidRDefault="00723ECB" w:rsidP="00C41083">
      <w:pPr>
        <w:pStyle w:val="-2"/>
        <w:rPr>
          <w:rFonts w:hint="eastAsia"/>
        </w:rPr>
      </w:pPr>
      <w:r>
        <w:rPr>
          <w:rFonts w:hint="eastAsia"/>
        </w:rPr>
        <w:t>7).</w:t>
      </w:r>
      <w:r>
        <w:t>禁止進廠廢棄物(如有發現載運有害廢棄物者，應立即報請執行機關依法處理)</w:t>
      </w:r>
    </w:p>
    <w:p w:rsidR="0024754B" w:rsidRDefault="0024754B" w:rsidP="00C41083">
      <w:pPr>
        <w:pStyle w:val="-2"/>
      </w:pPr>
    </w:p>
    <w:tbl>
      <w:tblPr>
        <w:tblW w:w="8749"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749"/>
      </w:tblGrid>
      <w:tr w:rsidR="00723ECB" w:rsidTr="00723ECB">
        <w:tblPrEx>
          <w:tblCellMar>
            <w:top w:w="0" w:type="dxa"/>
            <w:bottom w:w="0" w:type="dxa"/>
          </w:tblCellMar>
        </w:tblPrEx>
        <w:tc>
          <w:tcPr>
            <w:tcW w:w="8749" w:type="dxa"/>
          </w:tcPr>
          <w:p w:rsidR="00723ECB" w:rsidRDefault="00723ECB" w:rsidP="00A33086">
            <w:pPr>
              <w:pStyle w:val="20"/>
              <w:rPr>
                <w:rFonts w:ascii="Times New Roman" w:eastAsia="標楷體"/>
                <w:snapToGrid w:val="0"/>
                <w:spacing w:val="0"/>
                <w:kern w:val="0"/>
              </w:rPr>
            </w:pPr>
            <w:r>
              <w:rPr>
                <w:rFonts w:ascii="Times New Roman" w:eastAsia="標楷體" w:hAnsi="標楷體"/>
                <w:snapToGrid w:val="0"/>
                <w:spacing w:val="0"/>
                <w:kern w:val="0"/>
              </w:rPr>
              <w:lastRenderedPageBreak/>
              <w:t>◎</w:t>
            </w:r>
            <w:r w:rsidRPr="0024754B">
              <w:rPr>
                <w:rFonts w:ascii="Times New Roman" w:eastAsia="標楷體" w:hAnsi="標楷體"/>
                <w:b/>
                <w:snapToGrid w:val="0"/>
                <w:color w:val="FF0000"/>
                <w:spacing w:val="0"/>
                <w:kern w:val="0"/>
                <w:u w:val="single"/>
              </w:rPr>
              <w:t>不可焚化廢棄物</w:t>
            </w:r>
          </w:p>
        </w:tc>
      </w:tr>
      <w:tr w:rsidR="00723ECB" w:rsidTr="00723ECB">
        <w:tblPrEx>
          <w:tblCellMar>
            <w:top w:w="0" w:type="dxa"/>
            <w:bottom w:w="0" w:type="dxa"/>
          </w:tblCellMar>
        </w:tblPrEx>
        <w:tc>
          <w:tcPr>
            <w:tcW w:w="8749" w:type="dxa"/>
          </w:tcPr>
          <w:p w:rsidR="00723ECB" w:rsidRDefault="00723ECB" w:rsidP="00A33086">
            <w:pPr>
              <w:ind w:left="199" w:hangingChars="83" w:hanging="199"/>
              <w:rPr>
                <w:rFonts w:eastAsia="標楷體"/>
                <w:snapToGrid w:val="0"/>
                <w:kern w:val="0"/>
              </w:rPr>
            </w:pPr>
            <w:r>
              <w:rPr>
                <w:rFonts w:eastAsia="標楷體"/>
                <w:snapToGrid w:val="0"/>
                <w:kern w:val="0"/>
              </w:rPr>
              <w:t>1.</w:t>
            </w:r>
            <w:r>
              <w:rPr>
                <w:rFonts w:eastAsia="標楷體" w:hAnsi="標楷體"/>
                <w:snapToGrid w:val="0"/>
                <w:kern w:val="0"/>
              </w:rPr>
              <w:t>不可燃無機物：泥土、水泥、磚瓦、石頭、沙石、廢土、淤泥、飛灰、</w:t>
            </w:r>
            <w:proofErr w:type="gramStart"/>
            <w:r>
              <w:rPr>
                <w:rFonts w:eastAsia="標楷體" w:hAnsi="標楷體"/>
                <w:snapToGrid w:val="0"/>
                <w:kern w:val="0"/>
              </w:rPr>
              <w:t>熔渣、</w:t>
            </w:r>
            <w:proofErr w:type="gramEnd"/>
            <w:r>
              <w:rPr>
                <w:rFonts w:eastAsia="標楷體" w:hAnsi="標楷體"/>
                <w:snapToGrid w:val="0"/>
                <w:kern w:val="0"/>
              </w:rPr>
              <w:t>灰渣、</w:t>
            </w:r>
            <w:r w:rsidRPr="00621860">
              <w:rPr>
                <w:rFonts w:eastAsia="標楷體" w:hAnsi="標楷體" w:hint="eastAsia"/>
                <w:snapToGrid w:val="0"/>
                <w:color w:val="FF0000"/>
                <w:kern w:val="0"/>
              </w:rPr>
              <w:t>飛灰</w:t>
            </w:r>
            <w:r w:rsidRPr="00E968D6">
              <w:rPr>
                <w:rFonts w:eastAsia="標楷體" w:hAnsi="標楷體" w:hint="eastAsia"/>
                <w:snapToGrid w:val="0"/>
                <w:color w:val="FF0000"/>
                <w:kern w:val="0"/>
              </w:rPr>
              <w:t>穩定</w:t>
            </w:r>
            <w:r>
              <w:rPr>
                <w:rFonts w:eastAsia="標楷體" w:hAnsi="標楷體"/>
                <w:snapToGrid w:val="0"/>
                <w:color w:val="FF0000"/>
                <w:kern w:val="0"/>
              </w:rPr>
              <w:t>化物</w:t>
            </w:r>
            <w:r>
              <w:rPr>
                <w:rFonts w:eastAsia="標楷體" w:hAnsi="標楷體"/>
                <w:snapToGrid w:val="0"/>
                <w:kern w:val="0"/>
              </w:rPr>
              <w:t>、集塵灰、灰渣、礦渣、爐石、礦石、爐渣、玻璃、陶瓷、混凝土、石膏、無機性污泥等。</w:t>
            </w:r>
          </w:p>
          <w:p w:rsidR="00723ECB" w:rsidRDefault="00723ECB" w:rsidP="00A33086">
            <w:pPr>
              <w:ind w:left="199" w:hangingChars="83" w:hanging="199"/>
              <w:rPr>
                <w:rFonts w:eastAsia="標楷體"/>
                <w:snapToGrid w:val="0"/>
                <w:kern w:val="0"/>
              </w:rPr>
            </w:pPr>
            <w:r>
              <w:rPr>
                <w:rFonts w:eastAsia="標楷體"/>
                <w:snapToGrid w:val="0"/>
                <w:kern w:val="0"/>
              </w:rPr>
              <w:t>2.</w:t>
            </w:r>
            <w:r>
              <w:rPr>
                <w:rFonts w:eastAsia="標楷體" w:hAnsi="標楷體"/>
                <w:snapToGrid w:val="0"/>
                <w:kern w:val="0"/>
              </w:rPr>
              <w:t>金屬製品：腳踏車、機車、廢金屬、金屬屑、鋼筋、彈簧</w:t>
            </w:r>
            <w:r>
              <w:rPr>
                <w:rFonts w:eastAsia="標楷體"/>
                <w:snapToGrid w:val="0"/>
                <w:kern w:val="0"/>
              </w:rPr>
              <w:t>…</w:t>
            </w:r>
            <w:r>
              <w:rPr>
                <w:rFonts w:eastAsia="標楷體" w:hAnsi="標楷體"/>
                <w:snapToGrid w:val="0"/>
                <w:kern w:val="0"/>
              </w:rPr>
              <w:t>等，或含有金屬材質之家具或器材。</w:t>
            </w:r>
          </w:p>
          <w:p w:rsidR="00723ECB" w:rsidRDefault="00723ECB" w:rsidP="00A33086">
            <w:pPr>
              <w:rPr>
                <w:rFonts w:eastAsia="標楷體"/>
                <w:snapToGrid w:val="0"/>
                <w:kern w:val="0"/>
              </w:rPr>
            </w:pPr>
            <w:r>
              <w:rPr>
                <w:rFonts w:eastAsia="標楷體"/>
                <w:snapToGrid w:val="0"/>
                <w:kern w:val="0"/>
              </w:rPr>
              <w:t>3.</w:t>
            </w:r>
            <w:r>
              <w:rPr>
                <w:rFonts w:eastAsia="標楷體" w:hAnsi="標楷體"/>
                <w:snapToGrid w:val="0"/>
                <w:kern w:val="0"/>
              </w:rPr>
              <w:t>液體廢棄物：餿水、水肥、廢油或其他液體物質。</w:t>
            </w:r>
          </w:p>
          <w:p w:rsidR="00723ECB" w:rsidRDefault="00723ECB" w:rsidP="00A33086">
            <w:pPr>
              <w:rPr>
                <w:rFonts w:eastAsia="標楷體"/>
                <w:snapToGrid w:val="0"/>
                <w:kern w:val="0"/>
              </w:rPr>
            </w:pPr>
            <w:r>
              <w:rPr>
                <w:rFonts w:eastAsia="標楷體"/>
                <w:snapToGrid w:val="0"/>
                <w:kern w:val="0"/>
              </w:rPr>
              <w:t>4.</w:t>
            </w:r>
            <w:r>
              <w:rPr>
                <w:rFonts w:eastAsia="標楷體" w:hAnsi="標楷體"/>
                <w:snapToGrid w:val="0"/>
                <w:kern w:val="0"/>
              </w:rPr>
              <w:t>防火材料：絕緣材料如</w:t>
            </w:r>
            <w:proofErr w:type="gramStart"/>
            <w:r>
              <w:rPr>
                <w:rFonts w:eastAsia="標楷體" w:hAnsi="標楷體"/>
                <w:snapToGrid w:val="0"/>
                <w:kern w:val="0"/>
              </w:rPr>
              <w:t>岩棉、</w:t>
            </w:r>
            <w:proofErr w:type="gramEnd"/>
            <w:r>
              <w:rPr>
                <w:rFonts w:eastAsia="標楷體" w:hAnsi="標楷體"/>
                <w:snapToGrid w:val="0"/>
                <w:kern w:val="0"/>
              </w:rPr>
              <w:t>石棉、矽酸鈣板</w:t>
            </w:r>
            <w:r>
              <w:rPr>
                <w:rFonts w:eastAsia="標楷體"/>
                <w:snapToGrid w:val="0"/>
                <w:kern w:val="0"/>
              </w:rPr>
              <w:t>…</w:t>
            </w:r>
            <w:r>
              <w:rPr>
                <w:rFonts w:eastAsia="標楷體" w:hAnsi="標楷體"/>
                <w:snapToGrid w:val="0"/>
                <w:kern w:val="0"/>
              </w:rPr>
              <w:t>等。</w:t>
            </w:r>
          </w:p>
          <w:p w:rsidR="00723ECB" w:rsidRDefault="00723ECB" w:rsidP="00A33086">
            <w:pPr>
              <w:rPr>
                <w:rFonts w:eastAsia="標楷體"/>
                <w:snapToGrid w:val="0"/>
                <w:kern w:val="0"/>
              </w:rPr>
            </w:pPr>
            <w:r>
              <w:rPr>
                <w:rFonts w:eastAsia="標楷體"/>
                <w:snapToGrid w:val="0"/>
                <w:kern w:val="0"/>
              </w:rPr>
              <w:t>5.</w:t>
            </w:r>
            <w:r>
              <w:rPr>
                <w:rFonts w:eastAsia="標楷體" w:hAnsi="標楷體"/>
                <w:snapToGrid w:val="0"/>
                <w:kern w:val="0"/>
              </w:rPr>
              <w:t>電氣廢棄物：電容器、變壓器、乾電池、電纜線</w:t>
            </w:r>
            <w:r>
              <w:rPr>
                <w:rFonts w:eastAsia="標楷體"/>
                <w:snapToGrid w:val="0"/>
                <w:kern w:val="0"/>
              </w:rPr>
              <w:t>…</w:t>
            </w:r>
            <w:r>
              <w:rPr>
                <w:rFonts w:eastAsia="標楷體" w:hAnsi="標楷體"/>
                <w:snapToGrid w:val="0"/>
                <w:kern w:val="0"/>
              </w:rPr>
              <w:t>等。</w:t>
            </w:r>
          </w:p>
          <w:p w:rsidR="00723ECB" w:rsidRDefault="00723ECB" w:rsidP="00A33086">
            <w:pPr>
              <w:rPr>
                <w:rFonts w:eastAsia="標楷體"/>
                <w:snapToGrid w:val="0"/>
                <w:kern w:val="0"/>
              </w:rPr>
            </w:pPr>
            <w:r>
              <w:rPr>
                <w:rFonts w:eastAsia="標楷體"/>
                <w:snapToGrid w:val="0"/>
                <w:kern w:val="0"/>
              </w:rPr>
              <w:t>6.</w:t>
            </w:r>
            <w:r>
              <w:rPr>
                <w:rFonts w:eastAsia="標楷體" w:hAnsi="標楷體"/>
                <w:snapToGrid w:val="0"/>
                <w:kern w:val="0"/>
              </w:rPr>
              <w:t>電器廢棄物：洗衣機、冰箱、電視機、冷氣機、電腦</w:t>
            </w:r>
            <w:r>
              <w:rPr>
                <w:rFonts w:eastAsia="標楷體"/>
                <w:snapToGrid w:val="0"/>
                <w:kern w:val="0"/>
              </w:rPr>
              <w:t>…</w:t>
            </w:r>
            <w:r>
              <w:rPr>
                <w:rFonts w:eastAsia="標楷體" w:hAnsi="標楷體"/>
                <w:snapToGrid w:val="0"/>
                <w:kern w:val="0"/>
              </w:rPr>
              <w:t>等。</w:t>
            </w:r>
          </w:p>
          <w:p w:rsidR="00723ECB" w:rsidRDefault="00723ECB" w:rsidP="00A33086">
            <w:pPr>
              <w:rPr>
                <w:rFonts w:eastAsia="標楷體"/>
                <w:snapToGrid w:val="0"/>
                <w:kern w:val="0"/>
              </w:rPr>
            </w:pPr>
            <w:r>
              <w:rPr>
                <w:rFonts w:eastAsia="標楷體"/>
                <w:snapToGrid w:val="0"/>
                <w:kern w:val="0"/>
              </w:rPr>
              <w:t>7.</w:t>
            </w:r>
            <w:r>
              <w:rPr>
                <w:rFonts w:eastAsia="標楷體" w:hAnsi="標楷體"/>
                <w:snapToGrid w:val="0"/>
                <w:kern w:val="0"/>
              </w:rPr>
              <w:t>其他經環保機關指定之不可焚化廢棄物。</w:t>
            </w:r>
          </w:p>
        </w:tc>
      </w:tr>
      <w:tr w:rsidR="00723ECB" w:rsidTr="00723ECB">
        <w:tblPrEx>
          <w:tblCellMar>
            <w:top w:w="0" w:type="dxa"/>
            <w:bottom w:w="0" w:type="dxa"/>
          </w:tblCellMar>
        </w:tblPrEx>
        <w:tc>
          <w:tcPr>
            <w:tcW w:w="8749" w:type="dxa"/>
          </w:tcPr>
          <w:p w:rsidR="00723ECB" w:rsidRDefault="00723ECB" w:rsidP="00A33086">
            <w:pPr>
              <w:rPr>
                <w:rFonts w:eastAsia="標楷體"/>
                <w:snapToGrid w:val="0"/>
                <w:kern w:val="0"/>
              </w:rPr>
            </w:pPr>
            <w:r>
              <w:rPr>
                <w:rFonts w:eastAsia="標楷體" w:hAnsi="標楷體"/>
                <w:snapToGrid w:val="0"/>
                <w:kern w:val="0"/>
              </w:rPr>
              <w:t>◎</w:t>
            </w:r>
            <w:r w:rsidRPr="0024754B">
              <w:rPr>
                <w:rFonts w:eastAsia="標楷體" w:hAnsi="標楷體"/>
                <w:b/>
                <w:snapToGrid w:val="0"/>
                <w:color w:val="FF0000"/>
                <w:kern w:val="0"/>
                <w:u w:val="single"/>
              </w:rPr>
              <w:t>不適燃廢棄物</w:t>
            </w:r>
          </w:p>
        </w:tc>
      </w:tr>
      <w:tr w:rsidR="00723ECB" w:rsidTr="00723ECB">
        <w:tblPrEx>
          <w:tblCellMar>
            <w:top w:w="0" w:type="dxa"/>
            <w:bottom w:w="0" w:type="dxa"/>
          </w:tblCellMar>
        </w:tblPrEx>
        <w:tc>
          <w:tcPr>
            <w:tcW w:w="8749" w:type="dxa"/>
          </w:tcPr>
          <w:p w:rsidR="00723ECB" w:rsidRDefault="00723ECB" w:rsidP="00A33086">
            <w:pPr>
              <w:rPr>
                <w:rFonts w:eastAsia="標楷體"/>
                <w:snapToGrid w:val="0"/>
                <w:kern w:val="0"/>
              </w:rPr>
            </w:pPr>
            <w:r>
              <w:rPr>
                <w:rFonts w:eastAsia="標楷體"/>
                <w:snapToGrid w:val="0"/>
                <w:kern w:val="0"/>
              </w:rPr>
              <w:t>1.</w:t>
            </w:r>
            <w:r>
              <w:rPr>
                <w:rFonts w:eastAsia="標楷體" w:hAnsi="標楷體"/>
                <w:snapToGrid w:val="0"/>
                <w:kern w:val="0"/>
              </w:rPr>
              <w:t>有機性污泥：人或動物排泄物、肥料淤泥、廢皮革等。</w:t>
            </w:r>
          </w:p>
          <w:p w:rsidR="00723ECB" w:rsidRDefault="00723ECB" w:rsidP="00A33086">
            <w:pPr>
              <w:ind w:left="199" w:hangingChars="83" w:hanging="199"/>
              <w:rPr>
                <w:rFonts w:eastAsia="標楷體"/>
                <w:snapToGrid w:val="0"/>
                <w:kern w:val="0"/>
              </w:rPr>
            </w:pPr>
            <w:r>
              <w:rPr>
                <w:rFonts w:eastAsia="標楷體"/>
                <w:snapToGrid w:val="0"/>
                <w:kern w:val="0"/>
              </w:rPr>
              <w:t>2.</w:t>
            </w:r>
            <w:r w:rsidRPr="0024754B">
              <w:rPr>
                <w:rFonts w:eastAsia="標楷體" w:hAnsi="標楷體"/>
                <w:snapToGrid w:val="0"/>
                <w:color w:val="7030A0"/>
                <w:kern w:val="0"/>
              </w:rPr>
              <w:t>粉狀廢棄物</w:t>
            </w:r>
            <w:r>
              <w:rPr>
                <w:rFonts w:eastAsia="標楷體" w:hAnsi="標楷體"/>
                <w:snapToGrid w:val="0"/>
                <w:kern w:val="0"/>
              </w:rPr>
              <w:t>：夾雜大量粉狀物質</w:t>
            </w:r>
            <w:proofErr w:type="gramStart"/>
            <w:r>
              <w:rPr>
                <w:rFonts w:eastAsia="標楷體" w:hAnsi="標楷體"/>
                <w:snapToGrid w:val="0"/>
                <w:kern w:val="0"/>
              </w:rPr>
              <w:t>致貯坑揚塵</w:t>
            </w:r>
            <w:proofErr w:type="gramEnd"/>
            <w:r>
              <w:rPr>
                <w:rFonts w:eastAsia="標楷體" w:hAnsi="標楷體"/>
                <w:snapToGrid w:val="0"/>
                <w:kern w:val="0"/>
              </w:rPr>
              <w:t>視線不良之廢棄物，如木屑粉、塑膠粉、保溫棉屑、</w:t>
            </w:r>
            <w:proofErr w:type="gramStart"/>
            <w:r>
              <w:rPr>
                <w:rFonts w:eastAsia="標楷體" w:hAnsi="標楷體"/>
                <w:snapToGrid w:val="0"/>
                <w:kern w:val="0"/>
              </w:rPr>
              <w:t>土塵</w:t>
            </w:r>
            <w:proofErr w:type="gramEnd"/>
            <w:r>
              <w:rPr>
                <w:rFonts w:eastAsia="標楷體" w:hAnsi="標楷體"/>
                <w:snapToGrid w:val="0"/>
                <w:kern w:val="0"/>
              </w:rPr>
              <w:t>、碳粉等粉狀之廢棄物。</w:t>
            </w:r>
          </w:p>
          <w:p w:rsidR="00723ECB" w:rsidRDefault="00723ECB" w:rsidP="00A33086">
            <w:pPr>
              <w:rPr>
                <w:rFonts w:eastAsia="標楷體"/>
                <w:snapToGrid w:val="0"/>
                <w:kern w:val="0"/>
              </w:rPr>
            </w:pPr>
            <w:r>
              <w:rPr>
                <w:rFonts w:eastAsia="標楷體"/>
                <w:snapToGrid w:val="0"/>
                <w:kern w:val="0"/>
              </w:rPr>
              <w:t>3.</w:t>
            </w:r>
            <w:r>
              <w:rPr>
                <w:rFonts w:eastAsia="標楷體" w:hAnsi="標楷體"/>
                <w:snapToGrid w:val="0"/>
                <w:kern w:val="0"/>
              </w:rPr>
              <w:t>氯化烴類廢棄物：印刷電路板、電氣盒、含大量電子元件之迴路板及其被覆。</w:t>
            </w:r>
          </w:p>
          <w:p w:rsidR="00723ECB" w:rsidRDefault="00723ECB" w:rsidP="00A33086">
            <w:pPr>
              <w:ind w:left="199" w:hangingChars="83" w:hanging="199"/>
              <w:rPr>
                <w:rFonts w:eastAsia="標楷體"/>
                <w:snapToGrid w:val="0"/>
                <w:kern w:val="0"/>
              </w:rPr>
            </w:pPr>
            <w:r>
              <w:rPr>
                <w:rFonts w:eastAsia="標楷體"/>
                <w:snapToGrid w:val="0"/>
                <w:kern w:val="0"/>
              </w:rPr>
              <w:t>4.</w:t>
            </w:r>
            <w:r>
              <w:rPr>
                <w:rFonts w:eastAsia="標楷體" w:hAnsi="標楷體"/>
                <w:snapToGrid w:val="0"/>
                <w:kern w:val="0"/>
              </w:rPr>
              <w:t>廢橡膠：廢輪胎、廢離子交換樹脂、廢橡膠混合物、廢橡膠塑、（</w:t>
            </w:r>
            <w:proofErr w:type="gramStart"/>
            <w:r>
              <w:rPr>
                <w:rFonts w:eastAsia="標楷體" w:hAnsi="標楷體"/>
                <w:snapToGrid w:val="0"/>
                <w:kern w:val="0"/>
              </w:rPr>
              <w:t>橡</w:t>
            </w:r>
            <w:proofErr w:type="gramEnd"/>
            <w:r>
              <w:rPr>
                <w:rFonts w:eastAsia="標楷體" w:hAnsi="標楷體"/>
                <w:snapToGrid w:val="0"/>
                <w:kern w:val="0"/>
              </w:rPr>
              <w:t>）膠管（帶）及容器等。</w:t>
            </w:r>
          </w:p>
          <w:p w:rsidR="00723ECB" w:rsidRDefault="00723ECB" w:rsidP="00A33086">
            <w:pPr>
              <w:ind w:left="199" w:hangingChars="83" w:hanging="199"/>
              <w:rPr>
                <w:rFonts w:eastAsia="標楷體"/>
                <w:snapToGrid w:val="0"/>
                <w:kern w:val="0"/>
              </w:rPr>
            </w:pPr>
            <w:r>
              <w:rPr>
                <w:rFonts w:eastAsia="標楷體"/>
                <w:snapToGrid w:val="0"/>
                <w:kern w:val="0"/>
              </w:rPr>
              <w:t>5.</w:t>
            </w:r>
            <w:r>
              <w:rPr>
                <w:rFonts w:eastAsia="標楷體" w:hAnsi="標楷體"/>
                <w:snapToGrid w:val="0"/>
                <w:kern w:val="0"/>
              </w:rPr>
              <w:t>廢塑膠：大量之聚氯</w:t>
            </w:r>
            <w:proofErr w:type="gramStart"/>
            <w:r>
              <w:rPr>
                <w:rFonts w:eastAsia="標楷體" w:hAnsi="標楷體"/>
                <w:snapToGrid w:val="0"/>
                <w:kern w:val="0"/>
              </w:rPr>
              <w:t>乙稀</w:t>
            </w:r>
            <w:proofErr w:type="gramEnd"/>
            <w:r>
              <w:rPr>
                <w:rFonts w:eastAsia="標楷體"/>
                <w:snapToGrid w:val="0"/>
                <w:kern w:val="0"/>
              </w:rPr>
              <w:t>(PVC)</w:t>
            </w:r>
            <w:r>
              <w:rPr>
                <w:rFonts w:eastAsia="標楷體" w:hAnsi="標楷體"/>
                <w:snapToGrid w:val="0"/>
                <w:kern w:val="0"/>
              </w:rPr>
              <w:t>廢棄物、塑膠片、塑膠容器、塑膠傢俱、廢攝影膠片、大型帆布、膠帶捆、保利龍、太空包（袋）、特多龍、玻璃纖維等。</w:t>
            </w:r>
          </w:p>
          <w:p w:rsidR="00723ECB" w:rsidRDefault="00723ECB" w:rsidP="00A33086">
            <w:pPr>
              <w:rPr>
                <w:rFonts w:eastAsia="標楷體"/>
                <w:snapToGrid w:val="0"/>
                <w:kern w:val="0"/>
              </w:rPr>
            </w:pPr>
            <w:r>
              <w:rPr>
                <w:rFonts w:eastAsia="標楷體"/>
                <w:snapToGrid w:val="0"/>
                <w:kern w:val="0"/>
              </w:rPr>
              <w:t>6.</w:t>
            </w:r>
            <w:r>
              <w:rPr>
                <w:rFonts w:eastAsia="標楷體" w:hAnsi="標楷體"/>
                <w:snapToGrid w:val="0"/>
                <w:kern w:val="0"/>
              </w:rPr>
              <w:t>揮發性廢棄物：油料沉積物，油漆與其他不適合燃燒之化學性、刺鼻性廢棄物。</w:t>
            </w:r>
          </w:p>
          <w:p w:rsidR="00723ECB" w:rsidRDefault="00723ECB" w:rsidP="00A33086">
            <w:pPr>
              <w:rPr>
                <w:rFonts w:eastAsia="標楷體"/>
                <w:snapToGrid w:val="0"/>
                <w:kern w:val="0"/>
              </w:rPr>
            </w:pPr>
            <w:r>
              <w:rPr>
                <w:rFonts w:eastAsia="標楷體"/>
                <w:snapToGrid w:val="0"/>
                <w:kern w:val="0"/>
              </w:rPr>
              <w:t>7.</w:t>
            </w:r>
            <w:r>
              <w:rPr>
                <w:rFonts w:eastAsia="標楷體" w:hAnsi="標楷體"/>
                <w:snapToGrid w:val="0"/>
                <w:kern w:val="0"/>
              </w:rPr>
              <w:t>易燃性廢棄物：火藥製品、乾</w:t>
            </w:r>
            <w:proofErr w:type="gramStart"/>
            <w:r>
              <w:rPr>
                <w:rFonts w:eastAsia="標楷體" w:hAnsi="標楷體"/>
                <w:snapToGrid w:val="0"/>
                <w:kern w:val="0"/>
              </w:rPr>
              <w:t>性及濕性</w:t>
            </w:r>
            <w:proofErr w:type="gramEnd"/>
            <w:r>
              <w:rPr>
                <w:rFonts w:eastAsia="標楷體" w:hAnsi="標楷體"/>
                <w:snapToGrid w:val="0"/>
                <w:kern w:val="0"/>
              </w:rPr>
              <w:t>碳化物、自燃性廢棄物等。</w:t>
            </w:r>
          </w:p>
          <w:p w:rsidR="00723ECB" w:rsidRDefault="00723ECB" w:rsidP="00A33086">
            <w:pPr>
              <w:rPr>
                <w:rFonts w:eastAsia="標楷體"/>
                <w:snapToGrid w:val="0"/>
                <w:kern w:val="0"/>
              </w:rPr>
            </w:pPr>
            <w:r>
              <w:rPr>
                <w:rFonts w:eastAsia="標楷體"/>
                <w:snapToGrid w:val="0"/>
                <w:kern w:val="0"/>
              </w:rPr>
              <w:t>8.</w:t>
            </w:r>
            <w:r w:rsidRPr="0024754B">
              <w:rPr>
                <w:rFonts w:eastAsia="標楷體" w:hAnsi="標楷體"/>
                <w:snapToGrid w:val="0"/>
                <w:color w:val="7030A0"/>
                <w:kern w:val="0"/>
              </w:rPr>
              <w:t>筒塊狀</w:t>
            </w:r>
            <w:proofErr w:type="gramStart"/>
            <w:r w:rsidRPr="0024754B">
              <w:rPr>
                <w:rFonts w:eastAsia="標楷體" w:hAnsi="標楷體"/>
                <w:snapToGrid w:val="0"/>
                <w:color w:val="7030A0"/>
                <w:kern w:val="0"/>
              </w:rPr>
              <w:t>可燃物</w:t>
            </w:r>
            <w:proofErr w:type="gramEnd"/>
            <w:r>
              <w:rPr>
                <w:rFonts w:eastAsia="標楷體" w:hAnsi="標楷體"/>
                <w:snapToGrid w:val="0"/>
                <w:kern w:val="0"/>
              </w:rPr>
              <w:t>：成捲筒狀、筒狀或塊狀，厚度長度過大之可燃廢棄物。</w:t>
            </w:r>
          </w:p>
        </w:tc>
      </w:tr>
      <w:tr w:rsidR="00723ECB" w:rsidTr="00723ECB">
        <w:tblPrEx>
          <w:tblCellMar>
            <w:top w:w="0" w:type="dxa"/>
            <w:bottom w:w="0" w:type="dxa"/>
          </w:tblCellMar>
        </w:tblPrEx>
        <w:tc>
          <w:tcPr>
            <w:tcW w:w="8749" w:type="dxa"/>
          </w:tcPr>
          <w:p w:rsidR="00723ECB" w:rsidRDefault="00723ECB" w:rsidP="00A33086">
            <w:pPr>
              <w:ind w:left="199" w:hangingChars="83" w:hanging="199"/>
              <w:rPr>
                <w:rFonts w:eastAsia="標楷體"/>
                <w:snapToGrid w:val="0"/>
                <w:kern w:val="0"/>
              </w:rPr>
            </w:pPr>
            <w:r>
              <w:rPr>
                <w:rFonts w:eastAsia="標楷體"/>
                <w:snapToGrid w:val="0"/>
                <w:kern w:val="0"/>
              </w:rPr>
              <w:t>9.</w:t>
            </w:r>
            <w:proofErr w:type="gramStart"/>
            <w:r>
              <w:rPr>
                <w:rFonts w:eastAsia="標楷體" w:hAnsi="標楷體"/>
                <w:snapToGrid w:val="0"/>
                <w:kern w:val="0"/>
              </w:rPr>
              <w:t>梱紮</w:t>
            </w:r>
            <w:proofErr w:type="gramEnd"/>
            <w:r>
              <w:rPr>
                <w:rFonts w:eastAsia="標楷體" w:hAnsi="標楷體"/>
                <w:snapToGrid w:val="0"/>
                <w:kern w:val="0"/>
              </w:rPr>
              <w:t>廢棄物：經壓縮打包</w:t>
            </w:r>
            <w:proofErr w:type="gramStart"/>
            <w:r>
              <w:rPr>
                <w:rFonts w:eastAsia="標楷體" w:hAnsi="標楷體"/>
                <w:snapToGrid w:val="0"/>
                <w:kern w:val="0"/>
              </w:rPr>
              <w:t>之布團</w:t>
            </w:r>
            <w:proofErr w:type="gramEnd"/>
            <w:r>
              <w:rPr>
                <w:rFonts w:eastAsia="標楷體" w:hAnsi="標楷體"/>
                <w:snapToGrid w:val="0"/>
                <w:kern w:val="0"/>
              </w:rPr>
              <w:t>、棉被、生</w:t>
            </w:r>
            <w:proofErr w:type="gramStart"/>
            <w:r>
              <w:rPr>
                <w:rFonts w:eastAsia="標楷體" w:hAnsi="標楷體"/>
                <w:snapToGrid w:val="0"/>
                <w:kern w:val="0"/>
              </w:rPr>
              <w:t>椰子殼或內含</w:t>
            </w:r>
            <w:proofErr w:type="gramEnd"/>
            <w:r>
              <w:rPr>
                <w:rFonts w:eastAsia="標楷體" w:hAnsi="標楷體"/>
                <w:snapToGrid w:val="0"/>
                <w:kern w:val="0"/>
              </w:rPr>
              <w:t>鐵絲或使用金屬材質捆</w:t>
            </w:r>
            <w:proofErr w:type="gramStart"/>
            <w:r>
              <w:rPr>
                <w:rFonts w:eastAsia="標楷體" w:hAnsi="標楷體"/>
                <w:snapToGrid w:val="0"/>
                <w:kern w:val="0"/>
              </w:rPr>
              <w:t>紮</w:t>
            </w:r>
            <w:proofErr w:type="gramEnd"/>
            <w:r>
              <w:rPr>
                <w:rFonts w:eastAsia="標楷體" w:hAnsi="標楷體"/>
                <w:snapToGrid w:val="0"/>
                <w:kern w:val="0"/>
              </w:rPr>
              <w:t>打包之大量可燃廢棄物。</w:t>
            </w:r>
          </w:p>
          <w:p w:rsidR="00723ECB" w:rsidRDefault="00723ECB" w:rsidP="00A33086">
            <w:pPr>
              <w:rPr>
                <w:rFonts w:eastAsia="標楷體"/>
                <w:snapToGrid w:val="0"/>
                <w:kern w:val="0"/>
              </w:rPr>
            </w:pPr>
            <w:r>
              <w:rPr>
                <w:rFonts w:eastAsia="標楷體"/>
                <w:snapToGrid w:val="0"/>
                <w:kern w:val="0"/>
              </w:rPr>
              <w:t>10.</w:t>
            </w:r>
            <w:proofErr w:type="gramStart"/>
            <w:r>
              <w:rPr>
                <w:rFonts w:eastAsia="標楷體" w:hAnsi="標楷體"/>
                <w:snapToGrid w:val="0"/>
                <w:kern w:val="0"/>
              </w:rPr>
              <w:t>易悶燒</w:t>
            </w:r>
            <w:proofErr w:type="gramEnd"/>
            <w:r>
              <w:rPr>
                <w:rFonts w:eastAsia="標楷體" w:hAnsi="標楷體"/>
                <w:snapToGrid w:val="0"/>
                <w:kern w:val="0"/>
              </w:rPr>
              <w:t>廢棄物：大量不易</w:t>
            </w:r>
            <w:proofErr w:type="gramStart"/>
            <w:r>
              <w:rPr>
                <w:rFonts w:eastAsia="標楷體" w:hAnsi="標楷體"/>
                <w:snapToGrid w:val="0"/>
                <w:kern w:val="0"/>
              </w:rPr>
              <w:t>混拌打散之紙</w:t>
            </w:r>
            <w:proofErr w:type="gramEnd"/>
            <w:r>
              <w:rPr>
                <w:rFonts w:eastAsia="標楷體" w:hAnsi="標楷體"/>
                <w:snapToGrid w:val="0"/>
                <w:kern w:val="0"/>
              </w:rPr>
              <w:t>類、纖維或已浸濕之</w:t>
            </w:r>
            <w:proofErr w:type="gramStart"/>
            <w:r>
              <w:rPr>
                <w:rFonts w:eastAsia="標楷體" w:hAnsi="標楷體"/>
                <w:snapToGrid w:val="0"/>
                <w:kern w:val="0"/>
              </w:rPr>
              <w:t>可燃物</w:t>
            </w:r>
            <w:proofErr w:type="gramEnd"/>
            <w:r>
              <w:rPr>
                <w:rFonts w:eastAsia="標楷體" w:hAnsi="標楷體"/>
                <w:snapToGrid w:val="0"/>
                <w:kern w:val="0"/>
              </w:rPr>
              <w:t>。</w:t>
            </w:r>
          </w:p>
          <w:p w:rsidR="00723ECB" w:rsidRDefault="00723ECB" w:rsidP="00A33086">
            <w:pPr>
              <w:rPr>
                <w:rFonts w:eastAsia="標楷體"/>
                <w:snapToGrid w:val="0"/>
                <w:kern w:val="0"/>
              </w:rPr>
            </w:pPr>
            <w:r>
              <w:rPr>
                <w:rFonts w:eastAsia="標楷體"/>
                <w:snapToGrid w:val="0"/>
                <w:kern w:val="0"/>
              </w:rPr>
              <w:t>11.</w:t>
            </w:r>
            <w:r w:rsidRPr="0024754B">
              <w:rPr>
                <w:rFonts w:eastAsia="標楷體" w:hAnsi="標楷體"/>
                <w:snapToGrid w:val="0"/>
                <w:color w:val="7030A0"/>
                <w:kern w:val="0"/>
              </w:rPr>
              <w:t>建築廢棄物：</w:t>
            </w:r>
            <w:r>
              <w:rPr>
                <w:rFonts w:eastAsia="標楷體" w:hAnsi="標楷體"/>
                <w:snapToGrid w:val="0"/>
                <w:kern w:val="0"/>
              </w:rPr>
              <w:t>夾雜多量</w:t>
            </w:r>
            <w:proofErr w:type="gramStart"/>
            <w:r>
              <w:rPr>
                <w:rFonts w:eastAsia="標楷體" w:hAnsi="標楷體"/>
                <w:snapToGrid w:val="0"/>
                <w:kern w:val="0"/>
              </w:rPr>
              <w:t>不適燃物之</w:t>
            </w:r>
            <w:proofErr w:type="gramEnd"/>
            <w:r>
              <w:rPr>
                <w:rFonts w:eastAsia="標楷體" w:hAnsi="標楷體"/>
                <w:snapToGrid w:val="0"/>
                <w:kern w:val="0"/>
              </w:rPr>
              <w:t>建築廢木材</w:t>
            </w:r>
            <w:proofErr w:type="gramStart"/>
            <w:r>
              <w:rPr>
                <w:rFonts w:eastAsia="標楷體" w:hAnsi="標楷體"/>
                <w:snapToGrid w:val="0"/>
                <w:kern w:val="0"/>
              </w:rPr>
              <w:t>棧</w:t>
            </w:r>
            <w:proofErr w:type="gramEnd"/>
            <w:r>
              <w:rPr>
                <w:rFonts w:eastAsia="標楷體" w:hAnsi="標楷體"/>
                <w:snapToGrid w:val="0"/>
                <w:kern w:val="0"/>
              </w:rPr>
              <w:t>板、廢木材混合物、廢纖維。</w:t>
            </w:r>
          </w:p>
          <w:p w:rsidR="00723ECB" w:rsidRDefault="00723ECB" w:rsidP="00A33086">
            <w:pPr>
              <w:rPr>
                <w:rFonts w:eastAsia="標楷體"/>
                <w:snapToGrid w:val="0"/>
                <w:kern w:val="0"/>
              </w:rPr>
            </w:pPr>
            <w:r>
              <w:rPr>
                <w:rFonts w:eastAsia="標楷體"/>
                <w:snapToGrid w:val="0"/>
                <w:kern w:val="0"/>
              </w:rPr>
              <w:t>12.</w:t>
            </w:r>
            <w:r>
              <w:rPr>
                <w:rFonts w:eastAsia="標楷體" w:hAnsi="標楷體"/>
                <w:snapToGrid w:val="0"/>
                <w:kern w:val="0"/>
              </w:rPr>
              <w:t>其他經環保機關指定之不適燃廢棄物。</w:t>
            </w:r>
          </w:p>
        </w:tc>
      </w:tr>
      <w:tr w:rsidR="00723ECB" w:rsidTr="00723ECB">
        <w:tblPrEx>
          <w:tblCellMar>
            <w:top w:w="0" w:type="dxa"/>
            <w:bottom w:w="0" w:type="dxa"/>
          </w:tblCellMar>
        </w:tblPrEx>
        <w:tc>
          <w:tcPr>
            <w:tcW w:w="8749" w:type="dxa"/>
          </w:tcPr>
          <w:p w:rsidR="00723ECB" w:rsidRDefault="00723ECB" w:rsidP="00A33086">
            <w:pPr>
              <w:rPr>
                <w:rFonts w:eastAsia="標楷體"/>
                <w:snapToGrid w:val="0"/>
                <w:kern w:val="0"/>
              </w:rPr>
            </w:pPr>
            <w:r>
              <w:rPr>
                <w:rFonts w:eastAsia="標楷體" w:hAnsi="標楷體"/>
                <w:snapToGrid w:val="0"/>
                <w:kern w:val="0"/>
              </w:rPr>
              <w:t>◎</w:t>
            </w:r>
            <w:r w:rsidRPr="0024754B">
              <w:rPr>
                <w:rFonts w:eastAsia="標楷體" w:hAnsi="標楷體"/>
                <w:b/>
                <w:snapToGrid w:val="0"/>
                <w:color w:val="FF0000"/>
                <w:kern w:val="0"/>
                <w:u w:val="single"/>
              </w:rPr>
              <w:t>巨大廢棄物</w:t>
            </w:r>
          </w:p>
        </w:tc>
      </w:tr>
      <w:tr w:rsidR="00723ECB" w:rsidTr="00723ECB">
        <w:tblPrEx>
          <w:tblCellMar>
            <w:top w:w="0" w:type="dxa"/>
            <w:bottom w:w="0" w:type="dxa"/>
          </w:tblCellMar>
        </w:tblPrEx>
        <w:tc>
          <w:tcPr>
            <w:tcW w:w="8749" w:type="dxa"/>
          </w:tcPr>
          <w:p w:rsidR="00723ECB" w:rsidRDefault="00723ECB" w:rsidP="00A33086">
            <w:pPr>
              <w:pStyle w:val="5"/>
              <w:tabs>
                <w:tab w:val="clear" w:pos="321"/>
                <w:tab w:val="clear" w:pos="841"/>
                <w:tab w:val="left" w:pos="201"/>
                <w:tab w:val="num" w:pos="360"/>
              </w:tabs>
              <w:ind w:leftChars="0" w:left="1632" w:hangingChars="680" w:hanging="1632"/>
              <w:rPr>
                <w:rFonts w:ascii="Times New Roman"/>
                <w:snapToGrid w:val="0"/>
                <w:spacing w:val="0"/>
                <w:kern w:val="0"/>
                <w:sz w:val="24"/>
              </w:rPr>
            </w:pPr>
            <w:r>
              <w:rPr>
                <w:rFonts w:ascii="Times New Roman" w:hAnsi="標楷體"/>
                <w:snapToGrid w:val="0"/>
                <w:spacing w:val="0"/>
                <w:kern w:val="0"/>
                <w:sz w:val="24"/>
              </w:rPr>
              <w:t>大型不可破碎之可燃廢棄物如沙發椅、椰子床、彈簧床</w:t>
            </w:r>
            <w:r>
              <w:rPr>
                <w:rFonts w:ascii="Times New Roman"/>
                <w:snapToGrid w:val="0"/>
                <w:spacing w:val="0"/>
                <w:kern w:val="0"/>
                <w:sz w:val="24"/>
              </w:rPr>
              <w:t>…</w:t>
            </w:r>
            <w:r>
              <w:rPr>
                <w:rFonts w:ascii="Times New Roman" w:hAnsi="標楷體"/>
                <w:snapToGrid w:val="0"/>
                <w:spacing w:val="0"/>
                <w:kern w:val="0"/>
                <w:sz w:val="24"/>
              </w:rPr>
              <w:t>等。</w:t>
            </w:r>
          </w:p>
          <w:p w:rsidR="00723ECB" w:rsidRDefault="00723ECB" w:rsidP="00A33086">
            <w:pPr>
              <w:rPr>
                <w:rFonts w:eastAsia="標楷體"/>
                <w:snapToGrid w:val="0"/>
                <w:kern w:val="0"/>
              </w:rPr>
            </w:pPr>
            <w:r>
              <w:rPr>
                <w:rFonts w:eastAsia="標楷體"/>
                <w:snapToGrid w:val="0"/>
                <w:kern w:val="0"/>
              </w:rPr>
              <w:t>2.</w:t>
            </w:r>
            <w:r>
              <w:rPr>
                <w:rFonts w:eastAsia="標楷體" w:hAnsi="標楷體"/>
                <w:snapToGrid w:val="0"/>
                <w:kern w:val="0"/>
              </w:rPr>
              <w:t>大型不適燃之廢棄物或</w:t>
            </w:r>
            <w:proofErr w:type="gramStart"/>
            <w:r>
              <w:rPr>
                <w:rFonts w:eastAsia="標楷體" w:hAnsi="標楷體"/>
                <w:snapToGrid w:val="0"/>
                <w:kern w:val="0"/>
              </w:rPr>
              <w:t>含鐵件</w:t>
            </w:r>
            <w:proofErr w:type="gramEnd"/>
            <w:r>
              <w:rPr>
                <w:rFonts w:eastAsia="標楷體" w:hAnsi="標楷體"/>
                <w:snapToGrid w:val="0"/>
                <w:kern w:val="0"/>
              </w:rPr>
              <w:t>、金屬物之大型可燃廢棄物。</w:t>
            </w:r>
          </w:p>
          <w:p w:rsidR="00723ECB" w:rsidRDefault="00723ECB" w:rsidP="00A33086">
            <w:pPr>
              <w:rPr>
                <w:rFonts w:eastAsia="標楷體"/>
                <w:snapToGrid w:val="0"/>
                <w:kern w:val="0"/>
              </w:rPr>
            </w:pPr>
            <w:r>
              <w:rPr>
                <w:rFonts w:eastAsia="標楷體"/>
                <w:snapToGrid w:val="0"/>
                <w:kern w:val="0"/>
              </w:rPr>
              <w:t>3.</w:t>
            </w:r>
            <w:r>
              <w:rPr>
                <w:rFonts w:eastAsia="標楷體" w:hAnsi="標楷體"/>
                <w:snapToGrid w:val="0"/>
                <w:kern w:val="0"/>
              </w:rPr>
              <w:t>大型樹木：長度寬度過大或未經破碎、曬乾之樹枝及樹幹。</w:t>
            </w:r>
          </w:p>
          <w:p w:rsidR="00723ECB" w:rsidRDefault="00723ECB" w:rsidP="00A33086">
            <w:pPr>
              <w:rPr>
                <w:rFonts w:eastAsia="標楷體"/>
                <w:snapToGrid w:val="0"/>
                <w:kern w:val="0"/>
              </w:rPr>
            </w:pPr>
            <w:r>
              <w:rPr>
                <w:rFonts w:eastAsia="標楷體"/>
                <w:snapToGrid w:val="0"/>
                <w:kern w:val="0"/>
              </w:rPr>
              <w:t>4.</w:t>
            </w:r>
            <w:r>
              <w:rPr>
                <w:rFonts w:eastAsia="標楷體" w:hAnsi="標楷體"/>
                <w:snapToGrid w:val="0"/>
                <w:kern w:val="0"/>
              </w:rPr>
              <w:t>其他經廠方認定不適宜破碎物或影響廠方正常運轉者。</w:t>
            </w:r>
          </w:p>
        </w:tc>
      </w:tr>
      <w:tr w:rsidR="00723ECB" w:rsidTr="00723ECB">
        <w:tblPrEx>
          <w:tblCellMar>
            <w:top w:w="0" w:type="dxa"/>
            <w:bottom w:w="0" w:type="dxa"/>
          </w:tblCellMar>
        </w:tblPrEx>
        <w:tc>
          <w:tcPr>
            <w:tcW w:w="8749" w:type="dxa"/>
          </w:tcPr>
          <w:p w:rsidR="00723ECB" w:rsidRDefault="00723ECB" w:rsidP="00A33086">
            <w:pPr>
              <w:rPr>
                <w:rFonts w:eastAsia="標楷體"/>
                <w:snapToGrid w:val="0"/>
                <w:kern w:val="0"/>
              </w:rPr>
            </w:pPr>
            <w:r>
              <w:rPr>
                <w:rFonts w:eastAsia="標楷體" w:hAnsi="標楷體"/>
                <w:snapToGrid w:val="0"/>
                <w:kern w:val="0"/>
              </w:rPr>
              <w:t>◎</w:t>
            </w:r>
            <w:r w:rsidRPr="0024754B">
              <w:rPr>
                <w:rFonts w:eastAsia="標楷體" w:hAnsi="標楷體"/>
                <w:b/>
                <w:snapToGrid w:val="0"/>
                <w:color w:val="FF0000"/>
                <w:kern w:val="0"/>
                <w:u w:val="single"/>
              </w:rPr>
              <w:t>有害廢棄物</w:t>
            </w:r>
          </w:p>
        </w:tc>
      </w:tr>
      <w:tr w:rsidR="00723ECB" w:rsidTr="0024754B">
        <w:tblPrEx>
          <w:tblCellMar>
            <w:top w:w="0" w:type="dxa"/>
            <w:bottom w:w="0" w:type="dxa"/>
          </w:tblCellMar>
        </w:tblPrEx>
        <w:trPr>
          <w:trHeight w:val="70"/>
        </w:trPr>
        <w:tc>
          <w:tcPr>
            <w:tcW w:w="8749" w:type="dxa"/>
          </w:tcPr>
          <w:p w:rsidR="00723ECB" w:rsidRDefault="00723ECB" w:rsidP="00A33086">
            <w:pPr>
              <w:ind w:left="199" w:hangingChars="83" w:hanging="199"/>
              <w:rPr>
                <w:rFonts w:eastAsia="標楷體"/>
                <w:snapToGrid w:val="0"/>
                <w:kern w:val="0"/>
              </w:rPr>
            </w:pPr>
            <w:r>
              <w:rPr>
                <w:rFonts w:eastAsia="標楷體"/>
                <w:snapToGrid w:val="0"/>
                <w:kern w:val="0"/>
              </w:rPr>
              <w:t>1.</w:t>
            </w:r>
            <w:r>
              <w:rPr>
                <w:rFonts w:eastAsia="標楷體" w:hAnsi="標楷體"/>
                <w:snapToGrid w:val="0"/>
                <w:kern w:val="0"/>
              </w:rPr>
              <w:t>危險易爆炸物質及其容器：鋼瓶、鐵桶、瓦斯桶、裝有氫氣</w:t>
            </w:r>
            <w:proofErr w:type="gramStart"/>
            <w:r>
              <w:rPr>
                <w:rFonts w:eastAsia="標楷體" w:hAnsi="標楷體"/>
                <w:snapToGrid w:val="0"/>
                <w:kern w:val="0"/>
              </w:rPr>
              <w:t>乙炔氣罐</w:t>
            </w:r>
            <w:proofErr w:type="gramEnd"/>
            <w:r>
              <w:rPr>
                <w:rFonts w:eastAsia="標楷體" w:hAnsi="標楷體"/>
                <w:snapToGrid w:val="0"/>
                <w:kern w:val="0"/>
              </w:rPr>
              <w:t>、軍火、爆竹、鋁容器、</w:t>
            </w:r>
            <w:proofErr w:type="gramStart"/>
            <w:r>
              <w:rPr>
                <w:rFonts w:eastAsia="標楷體" w:hAnsi="標楷體"/>
                <w:snapToGrid w:val="0"/>
                <w:kern w:val="0"/>
              </w:rPr>
              <w:t>氣膠</w:t>
            </w:r>
            <w:proofErr w:type="gramEnd"/>
            <w:r>
              <w:rPr>
                <w:rFonts w:eastAsia="標楷體" w:hAnsi="標楷體"/>
                <w:snapToGrid w:val="0"/>
                <w:kern w:val="0"/>
              </w:rPr>
              <w:t>、硝化甘油、三硝基苯、過氯酸鉀、農藥廢容器。</w:t>
            </w:r>
          </w:p>
          <w:p w:rsidR="00723ECB" w:rsidRDefault="00723ECB" w:rsidP="00A33086">
            <w:pPr>
              <w:ind w:left="199" w:hangingChars="83" w:hanging="199"/>
              <w:rPr>
                <w:rFonts w:eastAsia="標楷體"/>
                <w:snapToGrid w:val="0"/>
                <w:kern w:val="0"/>
              </w:rPr>
            </w:pPr>
            <w:r>
              <w:rPr>
                <w:rFonts w:eastAsia="標楷體"/>
                <w:snapToGrid w:val="0"/>
                <w:kern w:val="0"/>
              </w:rPr>
              <w:t>2.</w:t>
            </w:r>
            <w:r>
              <w:rPr>
                <w:rFonts w:eastAsia="標楷體" w:hAnsi="標楷體"/>
                <w:snapToGrid w:val="0"/>
                <w:kern w:val="0"/>
              </w:rPr>
              <w:t>毒性廢棄物：有毒物質</w:t>
            </w:r>
            <w:proofErr w:type="gramStart"/>
            <w:r>
              <w:rPr>
                <w:rFonts w:eastAsia="標楷體" w:hAnsi="標楷體"/>
                <w:snapToGrid w:val="0"/>
                <w:kern w:val="0"/>
              </w:rPr>
              <w:t>或具溶出</w:t>
            </w:r>
            <w:proofErr w:type="gramEnd"/>
            <w:r>
              <w:rPr>
                <w:rFonts w:eastAsia="標楷體" w:hAnsi="標楷體"/>
                <w:snapToGrid w:val="0"/>
                <w:kern w:val="0"/>
              </w:rPr>
              <w:t>毒性之廢棄物，如多氯化合物、多氯聯苯化合物、農藥化合物</w:t>
            </w:r>
            <w:r>
              <w:rPr>
                <w:rFonts w:eastAsia="標楷體"/>
                <w:snapToGrid w:val="0"/>
                <w:kern w:val="0"/>
              </w:rPr>
              <w:t>…</w:t>
            </w:r>
            <w:r>
              <w:rPr>
                <w:rFonts w:eastAsia="標楷體" w:hAnsi="標楷體"/>
                <w:snapToGrid w:val="0"/>
                <w:kern w:val="0"/>
              </w:rPr>
              <w:t>等。</w:t>
            </w:r>
          </w:p>
          <w:p w:rsidR="00723ECB" w:rsidRDefault="00723ECB" w:rsidP="00A33086">
            <w:pPr>
              <w:ind w:left="199" w:hangingChars="83" w:hanging="199"/>
              <w:rPr>
                <w:rFonts w:eastAsia="標楷體"/>
                <w:snapToGrid w:val="0"/>
                <w:kern w:val="0"/>
              </w:rPr>
            </w:pPr>
            <w:r>
              <w:rPr>
                <w:rFonts w:eastAsia="標楷體"/>
                <w:snapToGrid w:val="0"/>
                <w:kern w:val="0"/>
              </w:rPr>
              <w:t>3.</w:t>
            </w:r>
            <w:r>
              <w:rPr>
                <w:rFonts w:eastAsia="標楷體" w:hAnsi="標楷體"/>
                <w:snapToGrid w:val="0"/>
                <w:kern w:val="0"/>
              </w:rPr>
              <w:t>醫療廢棄物：由醫療院所送出之廢棄物，包括針筒、點滴瓶、醫療器材、藥水瓶、衛生用藥等：</w:t>
            </w:r>
            <w:proofErr w:type="gramStart"/>
            <w:r>
              <w:rPr>
                <w:rFonts w:eastAsia="標楷體" w:hAnsi="標楷體"/>
                <w:snapToGrid w:val="0"/>
                <w:kern w:val="0"/>
              </w:rPr>
              <w:t>或殘肢</w:t>
            </w:r>
            <w:proofErr w:type="gramEnd"/>
            <w:r>
              <w:rPr>
                <w:rFonts w:eastAsia="標楷體" w:hAnsi="標楷體"/>
                <w:snapToGrid w:val="0"/>
                <w:kern w:val="0"/>
              </w:rPr>
              <w:t>、器官、骨骸、動物之屍體。</w:t>
            </w:r>
          </w:p>
          <w:p w:rsidR="00723ECB" w:rsidRDefault="00723ECB" w:rsidP="00A33086">
            <w:pPr>
              <w:rPr>
                <w:rFonts w:eastAsia="標楷體"/>
                <w:snapToGrid w:val="0"/>
                <w:kern w:val="0"/>
              </w:rPr>
            </w:pPr>
            <w:r>
              <w:rPr>
                <w:rFonts w:eastAsia="標楷體"/>
                <w:snapToGrid w:val="0"/>
                <w:kern w:val="0"/>
              </w:rPr>
              <w:t>4.</w:t>
            </w:r>
            <w:r>
              <w:rPr>
                <w:rFonts w:eastAsia="標楷體" w:hAnsi="標楷體"/>
                <w:snapToGrid w:val="0"/>
                <w:kern w:val="0"/>
              </w:rPr>
              <w:t>環境衛生用藥：除草劑、殺蟲劑及</w:t>
            </w:r>
            <w:proofErr w:type="gramStart"/>
            <w:r>
              <w:rPr>
                <w:rFonts w:eastAsia="標楷體" w:hAnsi="標楷體"/>
                <w:snapToGrid w:val="0"/>
                <w:kern w:val="0"/>
              </w:rPr>
              <w:t>除霉劑</w:t>
            </w:r>
            <w:proofErr w:type="gramEnd"/>
            <w:r>
              <w:rPr>
                <w:rFonts w:eastAsia="標楷體"/>
                <w:snapToGrid w:val="0"/>
                <w:kern w:val="0"/>
              </w:rPr>
              <w:t>…</w:t>
            </w:r>
            <w:r>
              <w:rPr>
                <w:rFonts w:eastAsia="標楷體" w:hAnsi="標楷體"/>
                <w:snapToGrid w:val="0"/>
                <w:kern w:val="0"/>
              </w:rPr>
              <w:t>等。</w:t>
            </w:r>
          </w:p>
          <w:p w:rsidR="00723ECB" w:rsidRDefault="00723ECB" w:rsidP="00A33086">
            <w:pPr>
              <w:ind w:left="199" w:hangingChars="83" w:hanging="199"/>
              <w:rPr>
                <w:rFonts w:eastAsia="標楷體"/>
                <w:snapToGrid w:val="0"/>
                <w:kern w:val="0"/>
              </w:rPr>
            </w:pPr>
            <w:r>
              <w:rPr>
                <w:rFonts w:eastAsia="標楷體"/>
                <w:snapToGrid w:val="0"/>
                <w:kern w:val="0"/>
              </w:rPr>
              <w:t>5.</w:t>
            </w:r>
            <w:r>
              <w:rPr>
                <w:rFonts w:eastAsia="標楷體" w:hAnsi="標楷體"/>
                <w:snapToGrid w:val="0"/>
                <w:kern w:val="0"/>
              </w:rPr>
              <w:t>化學廢棄物：</w:t>
            </w:r>
            <w:proofErr w:type="gramStart"/>
            <w:r>
              <w:rPr>
                <w:rFonts w:eastAsia="標楷體" w:hAnsi="標楷體"/>
                <w:snapToGrid w:val="0"/>
                <w:kern w:val="0"/>
              </w:rPr>
              <w:t>廢酸鹼</w:t>
            </w:r>
            <w:proofErr w:type="gramEnd"/>
            <w:r>
              <w:rPr>
                <w:rFonts w:eastAsia="標楷體" w:hAnsi="標楷體"/>
                <w:snapToGrid w:val="0"/>
                <w:kern w:val="0"/>
              </w:rPr>
              <w:t>、廢溶劑、廢觸媒以及其他具腐蝕性、反應性、易燃性之化學製品。</w:t>
            </w:r>
          </w:p>
          <w:p w:rsidR="00723ECB" w:rsidRDefault="00723ECB" w:rsidP="0024754B">
            <w:pPr>
              <w:rPr>
                <w:rFonts w:eastAsia="標楷體"/>
                <w:snapToGrid w:val="0"/>
                <w:kern w:val="0"/>
              </w:rPr>
            </w:pPr>
            <w:r>
              <w:rPr>
                <w:rFonts w:eastAsia="標楷體"/>
                <w:snapToGrid w:val="0"/>
                <w:kern w:val="0"/>
              </w:rPr>
              <w:t>6.</w:t>
            </w:r>
            <w:r>
              <w:rPr>
                <w:rFonts w:eastAsia="標楷體" w:hAnsi="標楷體"/>
                <w:snapToGrid w:val="0"/>
                <w:kern w:val="0"/>
              </w:rPr>
              <w:t>放射性廢棄物。</w:t>
            </w:r>
            <w:r w:rsidR="0024754B">
              <w:rPr>
                <w:rFonts w:eastAsia="標楷體" w:hAnsi="標楷體" w:hint="eastAsia"/>
                <w:snapToGrid w:val="0"/>
                <w:kern w:val="0"/>
              </w:rPr>
              <w:t xml:space="preserve">   </w:t>
            </w:r>
            <w:r w:rsidR="0024754B">
              <w:rPr>
                <w:rFonts w:eastAsia="標楷體"/>
                <w:snapToGrid w:val="0"/>
                <w:kern w:val="0"/>
              </w:rPr>
              <w:t>7.</w:t>
            </w:r>
            <w:r w:rsidR="0024754B">
              <w:rPr>
                <w:rFonts w:eastAsia="標楷體" w:hint="eastAsia"/>
                <w:snapToGrid w:val="0"/>
                <w:kern w:val="0"/>
              </w:rPr>
              <w:t>其</w:t>
            </w:r>
            <w:r w:rsidR="0024754B">
              <w:rPr>
                <w:rFonts w:eastAsia="標楷體" w:hAnsi="標楷體"/>
                <w:snapToGrid w:val="0"/>
                <w:kern w:val="0"/>
              </w:rPr>
              <w:t>他經環保機關指定之有害廢棄物。</w:t>
            </w:r>
          </w:p>
        </w:tc>
      </w:tr>
    </w:tbl>
    <w:p w:rsidR="00723ECB" w:rsidRPr="00C41083" w:rsidRDefault="00723ECB" w:rsidP="00C41083">
      <w:pPr>
        <w:pStyle w:val="-2"/>
        <w:rPr>
          <w:rFonts w:hint="eastAsia"/>
        </w:rPr>
      </w:pPr>
      <w:r w:rsidRPr="00C41083">
        <w:rPr>
          <w:rFonts w:hint="eastAsia"/>
        </w:rPr>
        <w:lastRenderedPageBreak/>
        <w:t>8).每車次含</w:t>
      </w:r>
      <w:r w:rsidRPr="0024754B">
        <w:rPr>
          <w:rFonts w:hint="eastAsia"/>
          <w:b/>
          <w:color w:val="7030A0"/>
          <w:u w:val="single"/>
        </w:rPr>
        <w:t>資源回收物超過清運淨重5％以上</w:t>
      </w:r>
      <w:r w:rsidRPr="00C41083">
        <w:rPr>
          <w:rFonts w:hint="eastAsia"/>
        </w:rPr>
        <w:t>且無法當場分離者，</w:t>
      </w:r>
      <w:proofErr w:type="gramStart"/>
      <w:r w:rsidRPr="00C41083">
        <w:rPr>
          <w:rFonts w:hint="eastAsia"/>
        </w:rPr>
        <w:t>不</w:t>
      </w:r>
      <w:proofErr w:type="gramEnd"/>
      <w:r w:rsidR="0024754B">
        <w:rPr>
          <w:rFonts w:hint="eastAsia"/>
        </w:rPr>
        <w:t xml:space="preserve">    </w:t>
      </w:r>
      <w:r w:rsidRPr="00C41083">
        <w:rPr>
          <w:rFonts w:hint="eastAsia"/>
        </w:rPr>
        <w:t>得進廠。</w:t>
      </w:r>
    </w:p>
    <w:p w:rsidR="00723ECB" w:rsidRPr="00C41083" w:rsidRDefault="00723ECB" w:rsidP="00C41083">
      <w:pPr>
        <w:pStyle w:val="-2"/>
        <w:rPr>
          <w:rFonts w:hint="eastAsia"/>
          <w:b/>
          <w:color w:val="FF0000"/>
        </w:rPr>
      </w:pPr>
      <w:r w:rsidRPr="00C41083">
        <w:rPr>
          <w:rFonts w:hint="eastAsia"/>
        </w:rPr>
        <w:t>9).清運傢俱或巨大垃圾進廠，有下列狀況之</w:t>
      </w:r>
      <w:proofErr w:type="gramStart"/>
      <w:r w:rsidRPr="00C41083">
        <w:rPr>
          <w:rFonts w:hint="eastAsia"/>
        </w:rPr>
        <w:t>一</w:t>
      </w:r>
      <w:proofErr w:type="gramEnd"/>
      <w:r w:rsidRPr="00C41083">
        <w:rPr>
          <w:rFonts w:hint="eastAsia"/>
        </w:rPr>
        <w:t>者，</w:t>
      </w:r>
      <w:r w:rsidRPr="00C41083">
        <w:rPr>
          <w:rFonts w:hint="eastAsia"/>
          <w:b/>
          <w:color w:val="FF0000"/>
        </w:rPr>
        <w:t>拒絕進廠：</w:t>
      </w:r>
    </w:p>
    <w:p w:rsidR="00723ECB" w:rsidRPr="00C41083" w:rsidRDefault="0024754B" w:rsidP="00C41083">
      <w:pPr>
        <w:pStyle w:val="-2"/>
        <w:rPr>
          <w:rFonts w:hint="eastAsia"/>
        </w:rPr>
      </w:pPr>
      <w:r>
        <w:rPr>
          <w:rFonts w:hint="eastAsia"/>
        </w:rPr>
        <w:t xml:space="preserve">   </w:t>
      </w:r>
      <w:r w:rsidR="00723ECB" w:rsidRPr="00C41083">
        <w:rPr>
          <w:rFonts w:hint="eastAsia"/>
        </w:rPr>
        <w:t>夾雜其他種類之廢棄物。</w:t>
      </w:r>
    </w:p>
    <w:p w:rsidR="00723ECB" w:rsidRPr="00C41083" w:rsidRDefault="0024754B" w:rsidP="00C41083">
      <w:pPr>
        <w:pStyle w:val="-2"/>
        <w:rPr>
          <w:rFonts w:hint="eastAsia"/>
        </w:rPr>
      </w:pPr>
      <w:r>
        <w:rPr>
          <w:rFonts w:hint="eastAsia"/>
        </w:rPr>
        <w:t xml:space="preserve">   </w:t>
      </w:r>
      <w:r w:rsidR="00723ECB" w:rsidRPr="00C41083">
        <w:rPr>
          <w:rFonts w:hint="eastAsia"/>
        </w:rPr>
        <w:t>大型傢俱應先拆解而未</w:t>
      </w:r>
      <w:proofErr w:type="gramStart"/>
      <w:r w:rsidR="00723ECB" w:rsidRPr="00C41083">
        <w:rPr>
          <w:rFonts w:hint="eastAsia"/>
        </w:rPr>
        <w:t>拆解者</w:t>
      </w:r>
      <w:proofErr w:type="gramEnd"/>
      <w:r w:rsidR="00723ECB" w:rsidRPr="00C41083">
        <w:rPr>
          <w:rFonts w:hint="eastAsia"/>
        </w:rPr>
        <w:t>。</w:t>
      </w:r>
    </w:p>
    <w:p w:rsidR="00723ECB" w:rsidRPr="00C41083" w:rsidRDefault="0024754B" w:rsidP="00C41083">
      <w:pPr>
        <w:pStyle w:val="-2"/>
        <w:rPr>
          <w:rFonts w:hint="eastAsia"/>
        </w:rPr>
      </w:pPr>
      <w:r>
        <w:rPr>
          <w:rFonts w:hint="eastAsia"/>
        </w:rPr>
        <w:t xml:space="preserve">   </w:t>
      </w:r>
      <w:r w:rsidR="00723ECB" w:rsidRPr="00C41083">
        <w:rPr>
          <w:rFonts w:hint="eastAsia"/>
        </w:rPr>
        <w:t>傢俱中夾雜「金屬」或「不可燃」等部件，本廠無法處理者。</w:t>
      </w:r>
    </w:p>
    <w:p w:rsidR="00723ECB" w:rsidRPr="00C41083" w:rsidRDefault="0024754B" w:rsidP="00C41083">
      <w:pPr>
        <w:pStyle w:val="-2"/>
        <w:rPr>
          <w:rFonts w:hint="eastAsia"/>
        </w:rPr>
      </w:pPr>
      <w:r>
        <w:rPr>
          <w:rFonts w:hint="eastAsia"/>
        </w:rPr>
        <w:t xml:space="preserve">   </w:t>
      </w:r>
      <w:r w:rsidR="00723ECB" w:rsidRPr="00C41083">
        <w:rPr>
          <w:rFonts w:hint="eastAsia"/>
        </w:rPr>
        <w:t>板狀或塊狀木料，其方形截面長及寬都大於</w:t>
      </w:r>
      <w:smartTag w:uri="urn:schemas-microsoft-com:office:smarttags" w:element="chmetcnv">
        <w:smartTagPr>
          <w:attr w:name="TCSC" w:val="0"/>
          <w:attr w:name="NumberType" w:val="1"/>
          <w:attr w:name="Negative" w:val="False"/>
          <w:attr w:name="HasSpace" w:val="False"/>
          <w:attr w:name="SourceValue" w:val="5"/>
          <w:attr w:name="UnitName" w:val="公分"/>
        </w:smartTagPr>
        <w:r w:rsidR="00723ECB" w:rsidRPr="00C41083">
          <w:rPr>
            <w:rFonts w:hint="eastAsia"/>
          </w:rPr>
          <w:t>5公分</w:t>
        </w:r>
      </w:smartTag>
      <w:r w:rsidR="00723ECB" w:rsidRPr="00C41083">
        <w:rPr>
          <w:rFonts w:hint="eastAsia"/>
        </w:rPr>
        <w:t>，或圓形截面直</w:t>
      </w:r>
      <w:r>
        <w:rPr>
          <w:rFonts w:hint="eastAsia"/>
        </w:rPr>
        <w:t xml:space="preserve">   </w:t>
      </w:r>
      <w:r w:rsidR="00723ECB" w:rsidRPr="00C41083">
        <w:rPr>
          <w:rFonts w:hint="eastAsia"/>
        </w:rPr>
        <w:t>徑大於</w:t>
      </w:r>
      <w:smartTag w:uri="urn:schemas-microsoft-com:office:smarttags" w:element="chmetcnv">
        <w:smartTagPr>
          <w:attr w:name="TCSC" w:val="0"/>
          <w:attr w:name="NumberType" w:val="1"/>
          <w:attr w:name="Negative" w:val="False"/>
          <w:attr w:name="HasSpace" w:val="False"/>
          <w:attr w:name="SourceValue" w:val="5"/>
          <w:attr w:name="UnitName" w:val="公分"/>
        </w:smartTagPr>
        <w:r w:rsidR="00723ECB" w:rsidRPr="00C41083">
          <w:rPr>
            <w:rFonts w:hint="eastAsia"/>
          </w:rPr>
          <w:t>5公分</w:t>
        </w:r>
      </w:smartTag>
      <w:r w:rsidR="00723ECB" w:rsidRPr="00C41083">
        <w:rPr>
          <w:rFonts w:hint="eastAsia"/>
        </w:rPr>
        <w:t>者。</w:t>
      </w:r>
    </w:p>
    <w:p w:rsidR="00723ECB" w:rsidRPr="00C41083" w:rsidRDefault="00723ECB" w:rsidP="00C41083">
      <w:pPr>
        <w:pStyle w:val="-2"/>
        <w:rPr>
          <w:rFonts w:hint="eastAsia"/>
        </w:rPr>
      </w:pPr>
      <w:r w:rsidRPr="00C41083">
        <w:rPr>
          <w:rFonts w:hint="eastAsia"/>
        </w:rPr>
        <w:t>10).其他經主管機關公告不得進廠之事業廢棄物。</w:t>
      </w:r>
    </w:p>
    <w:p w:rsidR="00C41083" w:rsidRDefault="00C41083" w:rsidP="00AB7629">
      <w:pPr>
        <w:autoSpaceDE w:val="0"/>
        <w:autoSpaceDN w:val="0"/>
        <w:snapToGrid w:val="0"/>
        <w:jc w:val="center"/>
        <w:rPr>
          <w:rFonts w:eastAsia="標楷體" w:hAnsi="標楷體" w:hint="eastAsia"/>
          <w:snapToGrid w:val="0"/>
          <w:kern w:val="0"/>
          <w:sz w:val="36"/>
        </w:rPr>
      </w:pPr>
    </w:p>
    <w:p w:rsidR="0024754B" w:rsidRDefault="0024754B" w:rsidP="00AB7629">
      <w:pPr>
        <w:autoSpaceDE w:val="0"/>
        <w:autoSpaceDN w:val="0"/>
        <w:snapToGrid w:val="0"/>
        <w:jc w:val="center"/>
        <w:rPr>
          <w:rFonts w:eastAsia="標楷體" w:hAnsi="標楷體" w:hint="eastAsia"/>
          <w:snapToGrid w:val="0"/>
          <w:kern w:val="0"/>
          <w:sz w:val="36"/>
        </w:rPr>
      </w:pPr>
    </w:p>
    <w:p w:rsidR="00AB7629" w:rsidRDefault="00AB7629" w:rsidP="00AB7629">
      <w:pPr>
        <w:autoSpaceDE w:val="0"/>
        <w:autoSpaceDN w:val="0"/>
        <w:snapToGrid w:val="0"/>
        <w:jc w:val="center"/>
        <w:rPr>
          <w:rFonts w:eastAsia="標楷體" w:hAnsi="標楷體"/>
          <w:snapToGrid w:val="0"/>
          <w:kern w:val="0"/>
          <w:sz w:val="36"/>
        </w:rPr>
      </w:pPr>
      <w:r>
        <w:rPr>
          <w:rFonts w:eastAsia="標楷體" w:hAnsi="標楷體"/>
          <w:snapToGrid w:val="0"/>
          <w:kern w:val="0"/>
          <w:sz w:val="36"/>
        </w:rPr>
        <w:t>溪州廠作業程序</w:t>
      </w:r>
    </w:p>
    <w:p w:rsidR="00723ECB" w:rsidRDefault="00723ECB" w:rsidP="00723ECB">
      <w:pPr>
        <w:pStyle w:val="32"/>
        <w:spacing w:line="240" w:lineRule="auto"/>
        <w:ind w:left="375" w:firstLine="165"/>
        <w:rPr>
          <w:snapToGrid w:val="0"/>
          <w:spacing w:val="0"/>
          <w:kern w:val="0"/>
        </w:rPr>
      </w:pPr>
    </w:p>
    <w:p w:rsidR="00723ECB" w:rsidRPr="00C41083" w:rsidRDefault="00C41083" w:rsidP="00C41083">
      <w:pPr>
        <w:pStyle w:val="-2"/>
        <w:rPr>
          <w:rFonts w:hint="eastAsia"/>
        </w:rPr>
      </w:pPr>
      <w:r w:rsidRPr="00C41083">
        <w:rPr>
          <w:rFonts w:hint="eastAsia"/>
        </w:rPr>
        <w:t>1</w:t>
      </w:r>
      <w:r w:rsidR="00723ECB" w:rsidRPr="00C41083">
        <w:t>).不得焚化之廢棄物離廠時，應填寫「一般廢棄物焚化廠不得焚化廢棄物出廠管制聯單」，以追蹤廢棄物流向。</w:t>
      </w:r>
    </w:p>
    <w:p w:rsidR="00723ECB" w:rsidRPr="00C41083" w:rsidRDefault="00C41083" w:rsidP="00C41083">
      <w:pPr>
        <w:pStyle w:val="-2"/>
        <w:rPr>
          <w:rFonts w:hint="eastAsia"/>
        </w:rPr>
      </w:pPr>
      <w:r w:rsidRPr="00C41083">
        <w:rPr>
          <w:rFonts w:hint="eastAsia"/>
        </w:rPr>
        <w:t>2</w:t>
      </w:r>
      <w:r w:rsidR="00723ECB" w:rsidRPr="00C41083">
        <w:t>).定期彙整舉發單後，正式函送執行機關依法處理。</w:t>
      </w:r>
    </w:p>
    <w:p w:rsidR="00723ECB" w:rsidRPr="00C41083" w:rsidRDefault="00C41083" w:rsidP="00C41083">
      <w:pPr>
        <w:pStyle w:val="-2"/>
        <w:rPr>
          <w:rFonts w:hint="eastAsia"/>
        </w:rPr>
      </w:pPr>
      <w:r w:rsidRPr="00C41083">
        <w:rPr>
          <w:rFonts w:hint="eastAsia"/>
        </w:rPr>
        <w:t>3</w:t>
      </w:r>
      <w:r w:rsidR="00723ECB" w:rsidRPr="00C41083">
        <w:rPr>
          <w:rFonts w:hint="eastAsia"/>
        </w:rPr>
        <w:t>)清運廢棄物車輛進廠人員應有接受本廠相關工作人員指揮或抽檢作業，不應有拒絕接受抽檢情事，或對本廠工作人員糾紛爭執或辱罵要脅。</w:t>
      </w:r>
    </w:p>
    <w:p w:rsidR="00723ECB" w:rsidRPr="0024754B" w:rsidRDefault="00C41083" w:rsidP="00C41083">
      <w:pPr>
        <w:pStyle w:val="-2"/>
        <w:rPr>
          <w:rFonts w:hint="eastAsia"/>
          <w:color w:val="FF0000"/>
        </w:rPr>
      </w:pPr>
      <w:r w:rsidRPr="00C41083">
        <w:rPr>
          <w:rFonts w:hint="eastAsia"/>
        </w:rPr>
        <w:t>4</w:t>
      </w:r>
      <w:r w:rsidR="00723ECB" w:rsidRPr="00C41083">
        <w:t>).載運廢棄物進廠車輛違反本要點作業規定者，本廠報備協助監督機構，依其違規累計次數及情節輕重處分，</w:t>
      </w:r>
      <w:r w:rsidR="00723ECB" w:rsidRPr="0024754B">
        <w:rPr>
          <w:b/>
          <w:color w:val="FF0000"/>
        </w:rPr>
        <w:t>第一次違規者</w:t>
      </w:r>
      <w:proofErr w:type="gramStart"/>
      <w:r w:rsidR="00723ECB" w:rsidRPr="0024754B">
        <w:rPr>
          <w:b/>
          <w:color w:val="FF0000"/>
        </w:rPr>
        <w:t>原車遣回</w:t>
      </w:r>
      <w:proofErr w:type="gramEnd"/>
      <w:r w:rsidR="00723ECB" w:rsidRPr="0024754B">
        <w:rPr>
          <w:color w:val="FF0000"/>
        </w:rPr>
        <w:t>，</w:t>
      </w:r>
      <w:r w:rsidR="00723ECB" w:rsidRPr="00C41083">
        <w:t>並對該違規車輛處以3個工作日暫停載運廢棄物進廠處分，</w:t>
      </w:r>
      <w:r w:rsidR="00723ECB" w:rsidRPr="0024754B">
        <w:rPr>
          <w:b/>
          <w:color w:val="FF0000"/>
        </w:rPr>
        <w:t>第二次違規者</w:t>
      </w:r>
      <w:proofErr w:type="gramStart"/>
      <w:r w:rsidR="00723ECB" w:rsidRPr="00C41083">
        <w:t>原車遣回</w:t>
      </w:r>
      <w:proofErr w:type="gramEnd"/>
      <w:r w:rsidR="00723ECB" w:rsidRPr="00C41083">
        <w:t>，處以該違規車輛1星期停止進</w:t>
      </w:r>
      <w:r w:rsidR="00AB7629" w:rsidRPr="00C41083">
        <w:rPr>
          <w:rFonts w:hint="eastAsia"/>
        </w:rPr>
        <w:t>廠處分</w:t>
      </w:r>
      <w:r w:rsidR="00723ECB" w:rsidRPr="00C41083">
        <w:t>，</w:t>
      </w:r>
      <w:r w:rsidR="00723ECB" w:rsidRPr="0024754B">
        <w:rPr>
          <w:b/>
          <w:color w:val="FF0000"/>
        </w:rPr>
        <w:t>第三次違規者</w:t>
      </w:r>
      <w:proofErr w:type="gramStart"/>
      <w:r w:rsidR="00723ECB" w:rsidRPr="00C41083">
        <w:t>原車遣回</w:t>
      </w:r>
      <w:proofErr w:type="gramEnd"/>
      <w:r w:rsidR="00723ECB" w:rsidRPr="00C41083">
        <w:t>外，處以該違規車輛1個月停止進廠處分，並暫收回進廠過磅感應磁卡，該違規車輛於同一年度累犯達四次者，停止進廠1年，及暫收回進廠過磅感應磁卡處分</w:t>
      </w:r>
      <w:r w:rsidR="00723ECB" w:rsidRPr="00C41083">
        <w:rPr>
          <w:rFonts w:hint="eastAsia"/>
        </w:rPr>
        <w:t>；清運車輛人員有上述4).情節發生者，第一次違規人員以暫停</w:t>
      </w:r>
      <w:r w:rsidR="00723ECB" w:rsidRPr="00C41083">
        <w:t>1星期進廠</w:t>
      </w:r>
      <w:r w:rsidR="00723ECB" w:rsidRPr="00C41083">
        <w:rPr>
          <w:rFonts w:hint="eastAsia"/>
        </w:rPr>
        <w:t>處分，同年度第二次違規人員以暫停1個月</w:t>
      </w:r>
      <w:r w:rsidR="00723ECB" w:rsidRPr="00C41083">
        <w:t>進廠</w:t>
      </w:r>
      <w:r w:rsidR="00723ECB" w:rsidRPr="00C41083">
        <w:rPr>
          <w:rFonts w:hint="eastAsia"/>
        </w:rPr>
        <w:t>處分，</w:t>
      </w:r>
      <w:r w:rsidR="00723ECB" w:rsidRPr="0024754B">
        <w:rPr>
          <w:rFonts w:hint="eastAsia"/>
          <w:color w:val="FF0000"/>
        </w:rPr>
        <w:t>同年度再第三次違規者以停止3個月</w:t>
      </w:r>
      <w:r w:rsidR="00723ECB" w:rsidRPr="0024754B">
        <w:rPr>
          <w:color w:val="FF0000"/>
        </w:rPr>
        <w:t>進廠</w:t>
      </w:r>
      <w:r w:rsidR="00723ECB" w:rsidRPr="0024754B">
        <w:rPr>
          <w:rFonts w:hint="eastAsia"/>
          <w:color w:val="FF0000"/>
        </w:rPr>
        <w:t>處分</w:t>
      </w:r>
      <w:r w:rsidR="00723ECB" w:rsidRPr="0024754B">
        <w:rPr>
          <w:color w:val="FF0000"/>
        </w:rPr>
        <w:t>。</w:t>
      </w:r>
    </w:p>
    <w:sectPr w:rsidR="00723ECB" w:rsidRPr="0024754B" w:rsidSect="00BB1988">
      <w:pgSz w:w="11907" w:h="16840" w:code="9"/>
      <w:pgMar w:top="1247" w:right="924" w:bottom="1247" w:left="1474" w:header="851" w:footer="992" w:gutter="0"/>
      <w:cols w:space="425"/>
      <w:titlePg/>
      <w:docGrid w:linePitch="462"/>
    </w:sectPr>
  </w:body>
</w:document>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楷書體W5">
    <w:altName w:val="標楷體"/>
    <w:charset w:val="88"/>
    <w:family w:val="script"/>
    <w:pitch w:val="fixed"/>
    <w:sig w:usb0="80000001" w:usb1="28091800" w:usb2="00000016"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9EEA68A"/>
    <w:lvl w:ilvl="0">
      <w:start w:val="1"/>
      <w:numFmt w:val="decimal"/>
      <w:suff w:val="nothing"/>
      <w:lvlText w:val="%1‧"/>
      <w:lvlJc w:val="right"/>
      <w:pPr>
        <w:ind w:left="510" w:firstLine="0"/>
      </w:pPr>
      <w:rPr>
        <w:rFonts w:ascii="標楷體" w:eastAsia="標楷體" w:hint="eastAsia"/>
        <w:b/>
        <w:i w:val="0"/>
        <w:sz w:val="24"/>
      </w:rPr>
    </w:lvl>
    <w:lvl w:ilvl="1">
      <w:start w:val="1"/>
      <w:numFmt w:val="decimal"/>
      <w:suff w:val="nothing"/>
      <w:lvlText w:val="%1.%2. "/>
      <w:lvlJc w:val="left"/>
      <w:pPr>
        <w:ind w:left="754" w:hanging="425"/>
      </w:pPr>
      <w:rPr>
        <w:rFonts w:ascii="Times New Roman" w:hAnsi="Times New Roman" w:hint="default"/>
        <w:b w:val="0"/>
        <w:i w:val="0"/>
        <w:sz w:val="24"/>
      </w:rPr>
    </w:lvl>
    <w:lvl w:ilvl="2">
      <w:start w:val="1"/>
      <w:numFmt w:val="decimal"/>
      <w:suff w:val="nothing"/>
      <w:lvlText w:val="%1.%2.%3."/>
      <w:lvlJc w:val="left"/>
      <w:pPr>
        <w:ind w:left="1106" w:hanging="538"/>
      </w:pPr>
      <w:rPr>
        <w:rFonts w:hint="eastAsia"/>
      </w:rPr>
    </w:lvl>
    <w:lvl w:ilvl="3">
      <w:start w:val="1"/>
      <w:numFmt w:val="decimal"/>
      <w:pStyle w:val="4"/>
      <w:suff w:val="nothing"/>
      <w:lvlText w:val="%1.%2.%3.%4."/>
      <w:lvlJc w:val="left"/>
      <w:pPr>
        <w:ind w:left="1236" w:hanging="726"/>
      </w:pPr>
      <w:rPr>
        <w:rFonts w:hint="eastAsia"/>
      </w:rPr>
    </w:lvl>
    <w:lvl w:ilvl="4">
      <w:start w:val="1"/>
      <w:numFmt w:val="decimal"/>
      <w:pStyle w:val="5"/>
      <w:lvlText w:val="%5."/>
      <w:lvlJc w:val="left"/>
      <w:pPr>
        <w:tabs>
          <w:tab w:val="num" w:pos="360"/>
        </w:tabs>
        <w:ind w:left="284" w:hanging="284"/>
      </w:pPr>
      <w:rPr>
        <w:rFonts w:hint="eastAsia"/>
      </w:rPr>
    </w:lvl>
    <w:lvl w:ilvl="5">
      <w:start w:val="1"/>
      <w:numFmt w:val="decimal"/>
      <w:pStyle w:val="6"/>
      <w:lvlText w:val="%6."/>
      <w:lvlJc w:val="left"/>
      <w:pPr>
        <w:tabs>
          <w:tab w:val="num" w:pos="360"/>
        </w:tabs>
        <w:ind w:left="284" w:hanging="284"/>
      </w:pPr>
      <w:rPr>
        <w:rFonts w:hint="eastAsia"/>
      </w:rPr>
    </w:lvl>
    <w:lvl w:ilvl="6">
      <w:start w:val="1"/>
      <w:numFmt w:val="decimal"/>
      <w:pStyle w:val="7"/>
      <w:lvlText w:val="%7."/>
      <w:lvlJc w:val="left"/>
      <w:pPr>
        <w:tabs>
          <w:tab w:val="num" w:pos="360"/>
        </w:tabs>
        <w:ind w:left="284" w:hanging="284"/>
      </w:pPr>
      <w:rPr>
        <w:rFonts w:hint="eastAsia"/>
      </w:rPr>
    </w:lvl>
    <w:lvl w:ilvl="7">
      <w:start w:val="1"/>
      <w:numFmt w:val="decimal"/>
      <w:pStyle w:val="8"/>
      <w:lvlText w:val="%8."/>
      <w:lvlJc w:val="left"/>
      <w:pPr>
        <w:tabs>
          <w:tab w:val="num" w:pos="360"/>
        </w:tabs>
        <w:ind w:left="284" w:hanging="284"/>
      </w:pPr>
      <w:rPr>
        <w:rFonts w:hint="eastAsia"/>
      </w:rPr>
    </w:lvl>
    <w:lvl w:ilvl="8">
      <w:start w:val="1"/>
      <w:numFmt w:val="decimal"/>
      <w:pStyle w:val="9"/>
      <w:lvlText w:val="%9."/>
      <w:lvlJc w:val="left"/>
      <w:pPr>
        <w:tabs>
          <w:tab w:val="num" w:pos="360"/>
        </w:tabs>
        <w:ind w:left="284" w:hanging="284"/>
      </w:pPr>
      <w:rPr>
        <w:rFonts w:hint="eastAsia"/>
      </w:rPr>
    </w:lvl>
  </w:abstractNum>
  <w:abstractNum w:abstractNumId="1">
    <w:nsid w:val="7F274269"/>
    <w:multiLevelType w:val="hybridMultilevel"/>
    <w:tmpl w:val="D2606DC6"/>
    <w:lvl w:ilvl="0" w:tplc="E916974A">
      <w:start w:val="1"/>
      <w:numFmt w:val="decimal"/>
      <w:lvlText w:val="(%1)."/>
      <w:lvlJc w:val="left"/>
      <w:pPr>
        <w:tabs>
          <w:tab w:val="num" w:pos="-600"/>
        </w:tabs>
        <w:ind w:left="-600" w:hanging="480"/>
      </w:pPr>
      <w:rPr>
        <w:rFonts w:ascii="Times New Roman" w:hAnsi="Times New Roman" w:hint="default"/>
      </w:rPr>
    </w:lvl>
    <w:lvl w:ilvl="1" w:tplc="E916974A">
      <w:start w:val="1"/>
      <w:numFmt w:val="decimal"/>
      <w:lvlText w:val="(%2)."/>
      <w:lvlJc w:val="left"/>
      <w:pPr>
        <w:tabs>
          <w:tab w:val="num" w:pos="1860"/>
        </w:tabs>
        <w:ind w:left="1860" w:hanging="480"/>
      </w:pPr>
      <w:rPr>
        <w:rFonts w:ascii="Times New Roman" w:hAnsi="Times New Roman" w:hint="default"/>
      </w:r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rawingGridVerticalSpacing w:val="23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3ECB"/>
    <w:rsid w:val="000A0EF7"/>
    <w:rsid w:val="00244443"/>
    <w:rsid w:val="0024754B"/>
    <w:rsid w:val="002B5CAF"/>
    <w:rsid w:val="00723ECB"/>
    <w:rsid w:val="009D6619"/>
    <w:rsid w:val="00A7034E"/>
    <w:rsid w:val="00AB7629"/>
    <w:rsid w:val="00BB1988"/>
    <w:rsid w:val="00C41083"/>
    <w:rsid w:val="00C46602"/>
    <w:rsid w:val="00D41E01"/>
    <w:rsid w:val="00D902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ECB"/>
    <w:pPr>
      <w:widowControl w:val="0"/>
    </w:pPr>
    <w:rPr>
      <w:rFonts w:ascii="Times New Roman" w:eastAsia="新細明體" w:hAnsi="Times New Roman" w:cs="Times New Roman"/>
      <w:szCs w:val="24"/>
    </w:rPr>
  </w:style>
  <w:style w:type="paragraph" w:styleId="1">
    <w:name w:val="heading 1"/>
    <w:basedOn w:val="a"/>
    <w:next w:val="a0"/>
    <w:link w:val="10"/>
    <w:qFormat/>
    <w:rsid w:val="00723ECB"/>
    <w:pPr>
      <w:keepNext/>
      <w:widowControl/>
      <w:tabs>
        <w:tab w:val="left" w:pos="321"/>
      </w:tabs>
      <w:overflowPunct w:val="0"/>
      <w:autoSpaceDE w:val="0"/>
      <w:autoSpaceDN w:val="0"/>
      <w:adjustRightInd w:val="0"/>
      <w:snapToGrid w:val="0"/>
      <w:spacing w:line="360" w:lineRule="atLeast"/>
      <w:ind w:right="28" w:firstLine="92"/>
      <w:textAlignment w:val="baseline"/>
      <w:outlineLvl w:val="0"/>
    </w:pPr>
    <w:rPr>
      <w:rFonts w:ascii="標楷體" w:eastAsia="標楷體"/>
      <w:color w:val="000000"/>
      <w:spacing w:val="-20"/>
      <w:kern w:val="52"/>
    </w:rPr>
  </w:style>
  <w:style w:type="paragraph" w:styleId="3">
    <w:name w:val="heading 3"/>
    <w:basedOn w:val="a"/>
    <w:next w:val="a"/>
    <w:link w:val="30"/>
    <w:uiPriority w:val="9"/>
    <w:semiHidden/>
    <w:unhideWhenUsed/>
    <w:qFormat/>
    <w:rsid w:val="00723ECB"/>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3"/>
    <w:next w:val="31"/>
    <w:link w:val="40"/>
    <w:qFormat/>
    <w:rsid w:val="00723ECB"/>
    <w:pPr>
      <w:widowControl/>
      <w:numPr>
        <w:ilvl w:val="3"/>
        <w:numId w:val="1"/>
      </w:numPr>
      <w:tabs>
        <w:tab w:val="left" w:pos="321"/>
        <w:tab w:val="left" w:pos="1134"/>
      </w:tabs>
      <w:overflowPunct w:val="0"/>
      <w:autoSpaceDE w:val="0"/>
      <w:autoSpaceDN w:val="0"/>
      <w:adjustRightInd w:val="0"/>
      <w:snapToGrid w:val="0"/>
      <w:spacing w:line="360" w:lineRule="atLeast"/>
      <w:ind w:right="28"/>
      <w:textAlignment w:val="baseline"/>
      <w:outlineLvl w:val="3"/>
    </w:pPr>
    <w:rPr>
      <w:rFonts w:ascii="標楷體" w:eastAsia="標楷體" w:hAnsi="Times New Roman" w:cs="Times New Roman"/>
      <w:b w:val="0"/>
      <w:bCs w:val="0"/>
      <w:color w:val="000000"/>
      <w:spacing w:val="-20"/>
      <w:kern w:val="52"/>
      <w:sz w:val="28"/>
      <w:szCs w:val="28"/>
    </w:rPr>
  </w:style>
  <w:style w:type="paragraph" w:styleId="5">
    <w:name w:val="heading 5"/>
    <w:basedOn w:val="4"/>
    <w:next w:val="a"/>
    <w:link w:val="50"/>
    <w:qFormat/>
    <w:rsid w:val="00723ECB"/>
    <w:pPr>
      <w:numPr>
        <w:ilvl w:val="4"/>
      </w:numPr>
      <w:tabs>
        <w:tab w:val="clear" w:pos="360"/>
        <w:tab w:val="num" w:pos="841"/>
      </w:tabs>
      <w:ind w:leftChars="400" w:left="841" w:hangingChars="200" w:hanging="360"/>
      <w:outlineLvl w:val="4"/>
    </w:pPr>
  </w:style>
  <w:style w:type="paragraph" w:styleId="6">
    <w:name w:val="heading 6"/>
    <w:basedOn w:val="5"/>
    <w:next w:val="a"/>
    <w:link w:val="60"/>
    <w:qFormat/>
    <w:rsid w:val="00723ECB"/>
    <w:pPr>
      <w:numPr>
        <w:ilvl w:val="5"/>
      </w:numPr>
      <w:tabs>
        <w:tab w:val="clear" w:pos="360"/>
        <w:tab w:val="num" w:pos="841"/>
      </w:tabs>
      <w:ind w:left="841" w:hanging="360"/>
      <w:outlineLvl w:val="5"/>
    </w:pPr>
  </w:style>
  <w:style w:type="paragraph" w:styleId="7">
    <w:name w:val="heading 7"/>
    <w:basedOn w:val="6"/>
    <w:next w:val="a"/>
    <w:link w:val="70"/>
    <w:qFormat/>
    <w:rsid w:val="00723ECB"/>
    <w:pPr>
      <w:numPr>
        <w:ilvl w:val="6"/>
      </w:numPr>
      <w:tabs>
        <w:tab w:val="clear" w:pos="360"/>
        <w:tab w:val="num" w:pos="841"/>
      </w:tabs>
      <w:ind w:left="841" w:hanging="360"/>
      <w:outlineLvl w:val="6"/>
    </w:pPr>
  </w:style>
  <w:style w:type="paragraph" w:styleId="8">
    <w:name w:val="heading 8"/>
    <w:basedOn w:val="7"/>
    <w:next w:val="a"/>
    <w:link w:val="80"/>
    <w:qFormat/>
    <w:rsid w:val="00723ECB"/>
    <w:pPr>
      <w:numPr>
        <w:ilvl w:val="7"/>
      </w:numPr>
      <w:tabs>
        <w:tab w:val="clear" w:pos="360"/>
        <w:tab w:val="num" w:pos="841"/>
      </w:tabs>
      <w:ind w:left="841" w:hanging="360"/>
      <w:outlineLvl w:val="7"/>
    </w:pPr>
  </w:style>
  <w:style w:type="paragraph" w:styleId="9">
    <w:name w:val="heading 9"/>
    <w:basedOn w:val="8"/>
    <w:next w:val="a"/>
    <w:link w:val="90"/>
    <w:qFormat/>
    <w:rsid w:val="00723ECB"/>
    <w:pPr>
      <w:numPr>
        <w:ilvl w:val="8"/>
      </w:numPr>
      <w:tabs>
        <w:tab w:val="clear" w:pos="360"/>
        <w:tab w:val="num" w:pos="841"/>
      </w:tabs>
      <w:ind w:left="841" w:hanging="360"/>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723ECB"/>
    <w:rPr>
      <w:rFonts w:ascii="標楷體" w:eastAsia="標楷體" w:hAnsi="Times New Roman" w:cs="Times New Roman"/>
      <w:color w:val="000000"/>
      <w:spacing w:val="-20"/>
      <w:kern w:val="52"/>
      <w:szCs w:val="24"/>
    </w:rPr>
  </w:style>
  <w:style w:type="character" w:customStyle="1" w:styleId="40">
    <w:name w:val="標題 4 字元"/>
    <w:basedOn w:val="a1"/>
    <w:link w:val="4"/>
    <w:rsid w:val="00723ECB"/>
    <w:rPr>
      <w:rFonts w:ascii="標楷體" w:eastAsia="標楷體" w:hAnsi="Times New Roman" w:cs="Times New Roman"/>
      <w:color w:val="000000"/>
      <w:spacing w:val="-20"/>
      <w:kern w:val="52"/>
      <w:sz w:val="28"/>
      <w:szCs w:val="28"/>
    </w:rPr>
  </w:style>
  <w:style w:type="character" w:customStyle="1" w:styleId="50">
    <w:name w:val="標題 5 字元"/>
    <w:basedOn w:val="a1"/>
    <w:link w:val="5"/>
    <w:rsid w:val="00723ECB"/>
    <w:rPr>
      <w:rFonts w:ascii="標楷體" w:eastAsia="標楷體" w:hAnsi="Times New Roman" w:cs="Times New Roman"/>
      <w:color w:val="000000"/>
      <w:spacing w:val="-20"/>
      <w:kern w:val="52"/>
      <w:sz w:val="28"/>
      <w:szCs w:val="28"/>
    </w:rPr>
  </w:style>
  <w:style w:type="character" w:customStyle="1" w:styleId="60">
    <w:name w:val="標題 6 字元"/>
    <w:basedOn w:val="a1"/>
    <w:link w:val="6"/>
    <w:rsid w:val="00723ECB"/>
    <w:rPr>
      <w:rFonts w:ascii="標楷體" w:eastAsia="標楷體" w:hAnsi="Times New Roman" w:cs="Times New Roman"/>
      <w:color w:val="000000"/>
      <w:spacing w:val="-20"/>
      <w:kern w:val="52"/>
      <w:sz w:val="28"/>
      <w:szCs w:val="28"/>
    </w:rPr>
  </w:style>
  <w:style w:type="character" w:customStyle="1" w:styleId="70">
    <w:name w:val="標題 7 字元"/>
    <w:basedOn w:val="a1"/>
    <w:link w:val="7"/>
    <w:rsid w:val="00723ECB"/>
    <w:rPr>
      <w:rFonts w:ascii="標楷體" w:eastAsia="標楷體" w:hAnsi="Times New Roman" w:cs="Times New Roman"/>
      <w:color w:val="000000"/>
      <w:spacing w:val="-20"/>
      <w:kern w:val="52"/>
      <w:sz w:val="28"/>
      <w:szCs w:val="28"/>
    </w:rPr>
  </w:style>
  <w:style w:type="character" w:customStyle="1" w:styleId="80">
    <w:name w:val="標題 8 字元"/>
    <w:basedOn w:val="a1"/>
    <w:link w:val="8"/>
    <w:rsid w:val="00723ECB"/>
    <w:rPr>
      <w:rFonts w:ascii="標楷體" w:eastAsia="標楷體" w:hAnsi="Times New Roman" w:cs="Times New Roman"/>
      <w:color w:val="000000"/>
      <w:spacing w:val="-20"/>
      <w:kern w:val="52"/>
      <w:sz w:val="28"/>
      <w:szCs w:val="28"/>
    </w:rPr>
  </w:style>
  <w:style w:type="character" w:customStyle="1" w:styleId="90">
    <w:name w:val="標題 9 字元"/>
    <w:basedOn w:val="a1"/>
    <w:link w:val="9"/>
    <w:rsid w:val="00723ECB"/>
    <w:rPr>
      <w:rFonts w:ascii="標楷體" w:eastAsia="標楷體" w:hAnsi="Times New Roman" w:cs="Times New Roman"/>
      <w:color w:val="000000"/>
      <w:spacing w:val="-20"/>
      <w:kern w:val="52"/>
      <w:sz w:val="28"/>
      <w:szCs w:val="28"/>
    </w:rPr>
  </w:style>
  <w:style w:type="paragraph" w:styleId="a4">
    <w:name w:val="header"/>
    <w:basedOn w:val="a"/>
    <w:link w:val="a5"/>
    <w:rsid w:val="00723ECB"/>
    <w:pPr>
      <w:tabs>
        <w:tab w:val="center" w:pos="4153"/>
        <w:tab w:val="right" w:pos="8306"/>
      </w:tabs>
      <w:snapToGrid w:val="0"/>
    </w:pPr>
    <w:rPr>
      <w:sz w:val="20"/>
      <w:szCs w:val="20"/>
    </w:rPr>
  </w:style>
  <w:style w:type="character" w:customStyle="1" w:styleId="a5">
    <w:name w:val="頁首 字元"/>
    <w:basedOn w:val="a1"/>
    <w:link w:val="a4"/>
    <w:rsid w:val="00723ECB"/>
    <w:rPr>
      <w:rFonts w:ascii="Times New Roman" w:eastAsia="新細明體" w:hAnsi="Times New Roman" w:cs="Times New Roman"/>
      <w:sz w:val="20"/>
      <w:szCs w:val="20"/>
    </w:rPr>
  </w:style>
  <w:style w:type="paragraph" w:styleId="32">
    <w:name w:val="List Number 3"/>
    <w:basedOn w:val="2"/>
    <w:rsid w:val="00723ECB"/>
    <w:pPr>
      <w:widowControl/>
      <w:numPr>
        <w:numId w:val="0"/>
      </w:numPr>
      <w:tabs>
        <w:tab w:val="left" w:pos="321"/>
      </w:tabs>
      <w:overflowPunct w:val="0"/>
      <w:autoSpaceDE w:val="0"/>
      <w:autoSpaceDN w:val="0"/>
      <w:adjustRightInd w:val="0"/>
      <w:snapToGrid w:val="0"/>
      <w:spacing w:line="360" w:lineRule="atLeast"/>
      <w:ind w:left="1134" w:hanging="567"/>
      <w:contextualSpacing w:val="0"/>
      <w:textAlignment w:val="baseline"/>
    </w:pPr>
    <w:rPr>
      <w:rFonts w:ascii="標楷體" w:eastAsia="標楷體" w:hAnsi="標楷體"/>
      <w:color w:val="000000"/>
      <w:spacing w:val="-20"/>
      <w:kern w:val="52"/>
    </w:rPr>
  </w:style>
  <w:style w:type="paragraph" w:styleId="41">
    <w:name w:val="List Number 4"/>
    <w:basedOn w:val="32"/>
    <w:rsid w:val="00723ECB"/>
    <w:pPr>
      <w:tabs>
        <w:tab w:val="clear" w:pos="321"/>
        <w:tab w:val="left" w:pos="284"/>
      </w:tabs>
      <w:ind w:leftChars="1000" w:left="2425" w:hanging="425"/>
    </w:pPr>
  </w:style>
  <w:style w:type="paragraph" w:customStyle="1" w:styleId="-2">
    <w:name w:val="項目-2"/>
    <w:basedOn w:val="a"/>
    <w:autoRedefine/>
    <w:rsid w:val="00C41083"/>
    <w:pPr>
      <w:ind w:left="1296" w:hanging="216"/>
    </w:pPr>
    <w:rPr>
      <w:rFonts w:ascii="標楷體" w:eastAsia="標楷體" w:hAnsi="標楷體"/>
      <w:snapToGrid w:val="0"/>
      <w:kern w:val="0"/>
      <w:sz w:val="28"/>
      <w:szCs w:val="28"/>
    </w:rPr>
  </w:style>
  <w:style w:type="paragraph" w:customStyle="1" w:styleId="a6">
    <w:name w:val="內文首行縮排"/>
    <w:basedOn w:val="a"/>
    <w:autoRedefine/>
    <w:rsid w:val="00723ECB"/>
    <w:pPr>
      <w:widowControl/>
      <w:tabs>
        <w:tab w:val="left" w:pos="321"/>
        <w:tab w:val="left" w:pos="720"/>
      </w:tabs>
      <w:overflowPunct w:val="0"/>
      <w:autoSpaceDE w:val="0"/>
      <w:autoSpaceDN w:val="0"/>
      <w:ind w:left="375" w:right="28" w:hanging="15"/>
      <w:jc w:val="both"/>
      <w:textAlignment w:val="baseline"/>
    </w:pPr>
    <w:rPr>
      <w:rFonts w:ascii="標楷體" w:eastAsia="標楷體"/>
      <w:color w:val="000000"/>
      <w:spacing w:val="-20"/>
      <w:kern w:val="0"/>
    </w:rPr>
  </w:style>
  <w:style w:type="paragraph" w:customStyle="1" w:styleId="20">
    <w:name w:val="樣式2"/>
    <w:basedOn w:val="a"/>
    <w:rsid w:val="00723ECB"/>
    <w:pPr>
      <w:widowControl/>
      <w:overflowPunct w:val="0"/>
      <w:adjustRightInd w:val="0"/>
      <w:snapToGrid w:val="0"/>
      <w:spacing w:before="60" w:after="60" w:line="400" w:lineRule="atLeast"/>
      <w:ind w:firstLine="92"/>
      <w:jc w:val="both"/>
      <w:textAlignment w:val="baseline"/>
    </w:pPr>
    <w:rPr>
      <w:rFonts w:ascii="標楷體" w:eastAsia="華康楷書體W5"/>
      <w:color w:val="000000"/>
      <w:spacing w:val="-20"/>
    </w:rPr>
  </w:style>
  <w:style w:type="paragraph" w:styleId="21">
    <w:name w:val="Body Text 2"/>
    <w:basedOn w:val="a"/>
    <w:link w:val="22"/>
    <w:rsid w:val="00723ECB"/>
    <w:pPr>
      <w:widowControl/>
      <w:tabs>
        <w:tab w:val="left" w:pos="321"/>
      </w:tabs>
      <w:overflowPunct w:val="0"/>
      <w:autoSpaceDE w:val="0"/>
      <w:autoSpaceDN w:val="0"/>
      <w:adjustRightInd w:val="0"/>
      <w:snapToGrid w:val="0"/>
      <w:spacing w:line="360" w:lineRule="atLeast"/>
      <w:ind w:firstLine="92"/>
      <w:jc w:val="both"/>
      <w:textAlignment w:val="baseline"/>
    </w:pPr>
    <w:rPr>
      <w:rFonts w:ascii="標楷體" w:eastAsia="標楷體"/>
      <w:color w:val="000000"/>
      <w:spacing w:val="-20"/>
      <w:kern w:val="0"/>
      <w:sz w:val="20"/>
    </w:rPr>
  </w:style>
  <w:style w:type="character" w:customStyle="1" w:styleId="22">
    <w:name w:val="本文 2 字元"/>
    <w:basedOn w:val="a1"/>
    <w:link w:val="21"/>
    <w:rsid w:val="00723ECB"/>
    <w:rPr>
      <w:rFonts w:ascii="標楷體" w:eastAsia="標楷體" w:hAnsi="Times New Roman" w:cs="Times New Roman"/>
      <w:color w:val="000000"/>
      <w:spacing w:val="-20"/>
      <w:kern w:val="0"/>
      <w:sz w:val="20"/>
      <w:szCs w:val="24"/>
    </w:rPr>
  </w:style>
  <w:style w:type="paragraph" w:styleId="a0">
    <w:name w:val="Body Text Indent"/>
    <w:basedOn w:val="a"/>
    <w:link w:val="a7"/>
    <w:uiPriority w:val="99"/>
    <w:semiHidden/>
    <w:unhideWhenUsed/>
    <w:rsid w:val="00723ECB"/>
    <w:pPr>
      <w:spacing w:after="120"/>
      <w:ind w:leftChars="200" w:left="480"/>
    </w:pPr>
  </w:style>
  <w:style w:type="character" w:customStyle="1" w:styleId="a7">
    <w:name w:val="本文縮排 字元"/>
    <w:basedOn w:val="a1"/>
    <w:link w:val="a0"/>
    <w:uiPriority w:val="99"/>
    <w:semiHidden/>
    <w:rsid w:val="00723ECB"/>
    <w:rPr>
      <w:rFonts w:ascii="Times New Roman" w:eastAsia="新細明體" w:hAnsi="Times New Roman" w:cs="Times New Roman"/>
      <w:szCs w:val="24"/>
    </w:rPr>
  </w:style>
  <w:style w:type="character" w:customStyle="1" w:styleId="30">
    <w:name w:val="標題 3 字元"/>
    <w:basedOn w:val="a1"/>
    <w:link w:val="3"/>
    <w:uiPriority w:val="9"/>
    <w:semiHidden/>
    <w:rsid w:val="00723ECB"/>
    <w:rPr>
      <w:rFonts w:asciiTheme="majorHAnsi" w:eastAsiaTheme="majorEastAsia" w:hAnsiTheme="majorHAnsi" w:cstheme="majorBidi"/>
      <w:b/>
      <w:bCs/>
      <w:sz w:val="36"/>
      <w:szCs w:val="36"/>
    </w:rPr>
  </w:style>
  <w:style w:type="paragraph" w:styleId="31">
    <w:name w:val="Body Text Indent 3"/>
    <w:basedOn w:val="a"/>
    <w:link w:val="33"/>
    <w:uiPriority w:val="99"/>
    <w:semiHidden/>
    <w:unhideWhenUsed/>
    <w:rsid w:val="00723ECB"/>
    <w:pPr>
      <w:spacing w:after="120"/>
      <w:ind w:leftChars="200" w:left="480"/>
    </w:pPr>
    <w:rPr>
      <w:sz w:val="16"/>
      <w:szCs w:val="16"/>
    </w:rPr>
  </w:style>
  <w:style w:type="character" w:customStyle="1" w:styleId="33">
    <w:name w:val="本文縮排 3 字元"/>
    <w:basedOn w:val="a1"/>
    <w:link w:val="31"/>
    <w:uiPriority w:val="99"/>
    <w:semiHidden/>
    <w:rsid w:val="00723ECB"/>
    <w:rPr>
      <w:rFonts w:ascii="Times New Roman" w:eastAsia="新細明體" w:hAnsi="Times New Roman" w:cs="Times New Roman"/>
      <w:sz w:val="16"/>
      <w:szCs w:val="16"/>
    </w:rPr>
  </w:style>
  <w:style w:type="paragraph" w:styleId="2">
    <w:name w:val="List Number 2"/>
    <w:basedOn w:val="a"/>
    <w:uiPriority w:val="99"/>
    <w:semiHidden/>
    <w:unhideWhenUsed/>
    <w:rsid w:val="00723ECB"/>
    <w:pPr>
      <w:numPr>
        <w:numId w:val="3"/>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cp:revision>
  <dcterms:created xsi:type="dcterms:W3CDTF">2015-08-28T06:06:00Z</dcterms:created>
  <dcterms:modified xsi:type="dcterms:W3CDTF">2015-08-28T07:08:00Z</dcterms:modified>
</cp:coreProperties>
</file>